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62635" w14:textId="275A6E4B" w:rsidR="00171755" w:rsidRPr="006978E3" w:rsidRDefault="00171755" w:rsidP="00DE7A12">
      <w:pPr>
        <w:pStyle w:val="NormalWeb"/>
        <w:shd w:val="clear" w:color="auto" w:fill="FFFFFF"/>
        <w:jc w:val="both"/>
        <w:rPr>
          <w:rFonts w:ascii="Arial" w:hAnsi="Arial" w:cs="Arial"/>
          <w:color w:val="212121"/>
        </w:rPr>
      </w:pPr>
      <w:r w:rsidRPr="006978E3">
        <w:rPr>
          <w:rFonts w:ascii="Arial" w:hAnsi="Arial" w:cs="Arial"/>
          <w:color w:val="212121"/>
        </w:rPr>
        <w:t>Children (Basel). 2023 Jul 21;10(7):1259. doi: 10.3390/children10071259.</w:t>
      </w:r>
    </w:p>
    <w:p w14:paraId="0594B1E6" w14:textId="77777777" w:rsidR="00171755" w:rsidRPr="006978E3" w:rsidRDefault="00171755" w:rsidP="00DE7A12">
      <w:pPr>
        <w:pStyle w:val="NormalWeb"/>
        <w:shd w:val="clear" w:color="auto" w:fill="FFFFFF"/>
        <w:jc w:val="both"/>
        <w:rPr>
          <w:rFonts w:ascii="Arial" w:hAnsi="Arial" w:cs="Arial"/>
          <w:b/>
          <w:bCs/>
          <w:color w:val="212121"/>
        </w:rPr>
      </w:pPr>
      <w:r w:rsidRPr="006978E3">
        <w:rPr>
          <w:rFonts w:ascii="Arial" w:hAnsi="Arial" w:cs="Arial"/>
          <w:b/>
          <w:bCs/>
          <w:color w:val="212121"/>
        </w:rPr>
        <w:t>Anthropometric Indicators and Dietary Intake in Toddlers Aged from 12 to 24 Months Who Attended Private Clinics in the Metropolitan Area of Guadalajara</w:t>
      </w:r>
    </w:p>
    <w:p w14:paraId="6169B55C" w14:textId="77777777" w:rsidR="00171755" w:rsidRPr="006978E3" w:rsidRDefault="00171755" w:rsidP="00DE7A12">
      <w:pPr>
        <w:pStyle w:val="NormalWeb"/>
        <w:shd w:val="clear" w:color="auto" w:fill="FFFFFF"/>
        <w:jc w:val="both"/>
        <w:rPr>
          <w:rFonts w:ascii="Arial" w:hAnsi="Arial" w:cs="Arial"/>
          <w:color w:val="212121"/>
        </w:rPr>
      </w:pPr>
      <w:r w:rsidRPr="006978E3">
        <w:rPr>
          <w:rFonts w:ascii="Arial" w:hAnsi="Arial" w:cs="Arial"/>
          <w:b/>
          <w:bCs/>
          <w:color w:val="212121"/>
        </w:rPr>
        <w:t>Free PMC article</w:t>
      </w:r>
    </w:p>
    <w:p w14:paraId="2F5F70DA" w14:textId="77777777" w:rsidR="00171755" w:rsidRPr="006978E3" w:rsidRDefault="00171755" w:rsidP="00DE7A12">
      <w:pPr>
        <w:pStyle w:val="NormalWeb"/>
        <w:jc w:val="both"/>
        <w:rPr>
          <w:rFonts w:ascii="Arial" w:hAnsi="Arial" w:cs="Arial"/>
          <w:b/>
          <w:bCs/>
          <w:color w:val="212121"/>
        </w:rPr>
      </w:pPr>
      <w:r w:rsidRPr="006978E3">
        <w:rPr>
          <w:rFonts w:ascii="Arial" w:hAnsi="Arial" w:cs="Arial"/>
          <w:b/>
          <w:bCs/>
          <w:color w:val="212121"/>
        </w:rPr>
        <w:t>Abstract</w:t>
      </w:r>
    </w:p>
    <w:p w14:paraId="7B791A48" w14:textId="77777777" w:rsidR="00171755" w:rsidRPr="006978E3" w:rsidRDefault="00171755" w:rsidP="00DE7A12">
      <w:pPr>
        <w:pStyle w:val="NormalWeb"/>
        <w:jc w:val="both"/>
        <w:rPr>
          <w:rFonts w:ascii="Arial" w:hAnsi="Arial" w:cs="Arial"/>
          <w:color w:val="212121"/>
        </w:rPr>
      </w:pPr>
      <w:r w:rsidRPr="006978E3">
        <w:rPr>
          <w:rFonts w:ascii="Arial" w:hAnsi="Arial" w:cs="Arial"/>
          <w:color w:val="212121"/>
        </w:rPr>
        <w:t>The objective was to evaluate the anthropometric indicators and dietary intake of toddlers attending private clinics in Guadalajara. In a cross-sectional study, 101 toddlers aged 12 to 24 months were included. They were born full term, had an adequate weight for gestational age, and attended private clinics in Guadalajara. Two 24 h dietary recalls were administered. Anthropometric measurements were taken, and anthropometric indices were estimated. Student's </w:t>
      </w:r>
      <w:r w:rsidRPr="006978E3">
        <w:rPr>
          <w:rFonts w:ascii="Arial" w:hAnsi="Arial" w:cs="Arial"/>
          <w:i/>
          <w:iCs/>
          <w:color w:val="212121"/>
        </w:rPr>
        <w:t>t</w:t>
      </w:r>
      <w:r w:rsidRPr="006978E3">
        <w:rPr>
          <w:rFonts w:ascii="Arial" w:hAnsi="Arial" w:cs="Arial"/>
          <w:color w:val="212121"/>
        </w:rPr>
        <w:t> test or the Mann-Whitney U test, chi-square test, and odds ratio were used for quantitative or qualitative variables. Males had lower Z scores for the weight/age index than females. During the week, energy intake was excessive in males [OR = 5.5 (95% CI 1.4, 20.8)], and cholesterol intake was insufficient in females [OR = 3.03 (95% CI 1.2, 7.1)]. On weekends, energy [OR = 2.5 (95% CI 1.1, 5.7)] and fiber intake [OR = 3.1 (95% CI 1.2, 7.8)] were insufficient in females. Most of the toddlers who attend the private clinics in the upper-middle socioeconomic stratum of the Guadalajara Metropolitan Area had excessive protein intake, excessive consumption of added sugars was frequent, and there was insufficient intake of vitamin D and calcium. Sex was shown to be a factor influencing nutrient intake in these toddlers aged 12-24 months. Males had a Z-score of weight/age lower than females, suggesting nutritional risk.</w:t>
      </w:r>
    </w:p>
    <w:p w14:paraId="6FF23A1C" w14:textId="77777777" w:rsidR="00171755" w:rsidRPr="006978E3" w:rsidRDefault="00171755" w:rsidP="00DE7A12">
      <w:pPr>
        <w:pStyle w:val="NormalWeb"/>
        <w:jc w:val="both"/>
        <w:rPr>
          <w:rFonts w:ascii="Arial" w:hAnsi="Arial" w:cs="Arial"/>
          <w:color w:val="212121"/>
        </w:rPr>
      </w:pPr>
      <w:r w:rsidRPr="006978E3">
        <w:rPr>
          <w:rFonts w:ascii="Arial" w:hAnsi="Arial" w:cs="Arial"/>
          <w:b/>
          <w:bCs/>
          <w:color w:val="212121"/>
        </w:rPr>
        <w:t>Keywords: </w:t>
      </w:r>
      <w:r w:rsidRPr="006978E3">
        <w:rPr>
          <w:rFonts w:ascii="Arial" w:hAnsi="Arial" w:cs="Arial"/>
          <w:color w:val="212121"/>
        </w:rPr>
        <w:t>anthropometric indicators; feeding; nutrients; sex; toddlers.</w:t>
      </w:r>
    </w:p>
    <w:p w14:paraId="79EA4305" w14:textId="0DD4A4BA" w:rsidR="00171755" w:rsidRPr="006978E3" w:rsidRDefault="00171755" w:rsidP="00DE7A12">
      <w:pPr>
        <w:jc w:val="both"/>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Cancer</w:t>
      </w:r>
      <w:r w:rsidRPr="006978E3">
        <w:rPr>
          <w:rStyle w:val="period"/>
          <w:rFonts w:ascii="Arial" w:eastAsia="Times New Roman" w:hAnsi="Arial" w:cs="Arial"/>
          <w:color w:val="0071BC"/>
          <w:sz w:val="20"/>
          <w:szCs w:val="20"/>
        </w:rPr>
        <w:t>. </w:t>
      </w:r>
      <w:r w:rsidRPr="006978E3">
        <w:rPr>
          <w:rStyle w:val="cit"/>
          <w:rFonts w:ascii="Arial" w:eastAsia="Times New Roman" w:hAnsi="Arial" w:cs="Arial"/>
          <w:color w:val="5B616B"/>
          <w:sz w:val="20"/>
          <w:szCs w:val="20"/>
        </w:rPr>
        <w:t>2023 Jul 7.</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10.1002/cncr.34946.</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2B1A0410" w14:textId="77777777" w:rsidR="00171755" w:rsidRPr="006978E3" w:rsidRDefault="00171755" w:rsidP="00DE7A12">
      <w:pPr>
        <w:pStyle w:val="Ttulo1"/>
        <w:jc w:val="both"/>
        <w:rPr>
          <w:rFonts w:ascii="Arial" w:eastAsia="Times New Roman" w:hAnsi="Arial" w:cs="Arial"/>
          <w:sz w:val="20"/>
          <w:szCs w:val="20"/>
        </w:rPr>
      </w:pPr>
      <w:r w:rsidRPr="006978E3">
        <w:rPr>
          <w:rFonts w:ascii="Arial" w:eastAsia="Times New Roman" w:hAnsi="Arial" w:cs="Arial"/>
          <w:sz w:val="20"/>
          <w:szCs w:val="20"/>
        </w:rPr>
        <w:t>Development of EPAT: An assessment tool for pediatric hematology/oncology training programs</w:t>
      </w:r>
    </w:p>
    <w:p w14:paraId="72F6F677" w14:textId="77777777" w:rsidR="00171755" w:rsidRPr="006978E3" w:rsidRDefault="00171755" w:rsidP="00DE7A12">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075A3695"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Purpose: </w:t>
      </w:r>
      <w:r w:rsidRPr="006978E3">
        <w:rPr>
          <w:rFonts w:ascii="Arial" w:hAnsi="Arial" w:cs="Arial"/>
          <w:color w:val="212121"/>
        </w:rPr>
        <w:t>In the absence of a standardized tool to assess the quality of pediatric hematology/oncology training programs, the Education Program Assessment Tool (EPAT) was conceptualized as a user-friendly and adaptable tool to evaluate and identify areas of opportunity, pinpoint needed modifications, and monitor progress for training programs around the world.</w:t>
      </w:r>
    </w:p>
    <w:p w14:paraId="2AECB5A4"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Methods: </w:t>
      </w:r>
      <w:r w:rsidRPr="006978E3">
        <w:rPr>
          <w:rFonts w:ascii="Arial" w:hAnsi="Arial" w:cs="Arial"/>
          <w:color w:val="212121"/>
        </w:rPr>
        <w:t>The development of EPAT consisted of three main phases: operationalization, consensus, and piloting. After each phase, the tool was iteratively modified based on feedback to improve its relevance, usability, and clarity.</w:t>
      </w:r>
    </w:p>
    <w:p w14:paraId="5601214E"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The operationalization process led to the development of 10 domains with associated assessment questions. The two-step consensus phase included an internal consensus phase to validate the domains and a subsequent external consensus phase to refine the domains and overall function of the tool. EPAT domains for programmatic evaluation are hospital infrastructure, patient care, education infrastructure, program basics, clinical exposure, theory, research, evaluation, educational culture, and graduate impact. EPAT was piloted in five training programs in five countries, representing diverse medical training and patient care contexts for proper validation of the tool. Face validity was confirmed by a correlation between the perceived and calculated scores for each domain (r = 0.78, p &lt; .0001).</w:t>
      </w:r>
    </w:p>
    <w:p w14:paraId="0467872E"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Conclusions: </w:t>
      </w:r>
      <w:r w:rsidRPr="006978E3">
        <w:rPr>
          <w:rFonts w:ascii="Arial" w:hAnsi="Arial" w:cs="Arial"/>
          <w:color w:val="212121"/>
        </w:rPr>
        <w:t>EPAT was developed following a systematic approach, ultimately leading to a relevant tool to evaluate the different core elements of pediatric hematology/oncology training programs across the world. With EPAT, programs will have a tool to quantitatively evaluate their training, allowing for benchmarking with centers at the local, regional, and international level.</w:t>
      </w:r>
    </w:p>
    <w:p w14:paraId="12B99B06"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cancer workforce; capacity building; education; pediatric oncology; training.</w:t>
      </w:r>
    </w:p>
    <w:p w14:paraId="74A52718" w14:textId="23291D8F" w:rsidR="00171755" w:rsidRPr="006978E3" w:rsidRDefault="00171755" w:rsidP="00DE7A12">
      <w:pPr>
        <w:jc w:val="both"/>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Ther Adv Infect Dis</w:t>
      </w:r>
      <w:r w:rsidRPr="006978E3">
        <w:rPr>
          <w:rStyle w:val="period"/>
          <w:rFonts w:ascii="Arial" w:eastAsia="Times New Roman" w:hAnsi="Arial" w:cs="Arial"/>
          <w:color w:val="0071BC"/>
          <w:sz w:val="20"/>
          <w:szCs w:val="20"/>
        </w:rPr>
        <w:t>. </w:t>
      </w:r>
      <w:r w:rsidRPr="006978E3">
        <w:rPr>
          <w:rStyle w:val="cit"/>
          <w:rFonts w:ascii="Arial" w:eastAsia="Times New Roman" w:hAnsi="Arial" w:cs="Arial"/>
          <w:color w:val="5B616B"/>
          <w:sz w:val="20"/>
          <w:szCs w:val="20"/>
        </w:rPr>
        <w:t>2023 Jul 8;10:20499361231185413.</w:t>
      </w:r>
      <w:r w:rsidRPr="006978E3">
        <w:rPr>
          <w:rFonts w:ascii="Arial" w:eastAsia="Times New Roman" w:hAnsi="Arial" w:cs="Arial"/>
          <w:sz w:val="20"/>
          <w:szCs w:val="20"/>
        </w:rPr>
        <w:t> </w:t>
      </w:r>
      <w:r w:rsidR="006978E3" w:rsidRPr="006978E3">
        <w:rPr>
          <w:rStyle w:val="citation-doi"/>
          <w:rFonts w:ascii="Arial" w:eastAsia="Times New Roman" w:hAnsi="Arial" w:cs="Arial"/>
          <w:color w:val="5B616B"/>
          <w:sz w:val="20"/>
          <w:szCs w:val="20"/>
        </w:rPr>
        <w:t xml:space="preserve">doi: </w:t>
      </w:r>
      <w:r w:rsidRPr="006978E3">
        <w:rPr>
          <w:rStyle w:val="citation-doi"/>
          <w:rFonts w:ascii="Arial" w:eastAsia="Times New Roman" w:hAnsi="Arial" w:cs="Arial"/>
          <w:color w:val="5B616B"/>
          <w:sz w:val="20"/>
          <w:szCs w:val="20"/>
        </w:rPr>
        <w:t>10.1177/20499361231185413.</w:t>
      </w:r>
      <w:r w:rsidRPr="006978E3">
        <w:rPr>
          <w:rFonts w:ascii="Arial" w:eastAsia="Times New Roman" w:hAnsi="Arial" w:cs="Arial"/>
          <w:sz w:val="20"/>
          <w:szCs w:val="20"/>
        </w:rPr>
        <w:t> </w:t>
      </w:r>
      <w:r w:rsidRPr="006978E3">
        <w:rPr>
          <w:rStyle w:val="secondary-date"/>
          <w:rFonts w:ascii="Arial" w:eastAsia="Times New Roman" w:hAnsi="Arial" w:cs="Arial"/>
          <w:color w:val="5B616B"/>
          <w:sz w:val="20"/>
          <w:szCs w:val="20"/>
        </w:rPr>
        <w:t>eCollection 2023 Jan-Dec.</w:t>
      </w:r>
    </w:p>
    <w:p w14:paraId="7ED9BFB9" w14:textId="77777777" w:rsidR="00171755" w:rsidRPr="006978E3" w:rsidRDefault="00171755" w:rsidP="00DE7A12">
      <w:pPr>
        <w:pStyle w:val="Ttulo1"/>
        <w:jc w:val="both"/>
        <w:rPr>
          <w:rFonts w:ascii="Arial" w:eastAsia="Times New Roman" w:hAnsi="Arial" w:cs="Arial"/>
          <w:sz w:val="20"/>
          <w:szCs w:val="20"/>
        </w:rPr>
      </w:pPr>
      <w:r w:rsidRPr="006978E3">
        <w:rPr>
          <w:rFonts w:ascii="Arial" w:eastAsia="Times New Roman" w:hAnsi="Arial" w:cs="Arial"/>
          <w:sz w:val="20"/>
          <w:szCs w:val="20"/>
        </w:rPr>
        <w:t>The global prevalence of human fascioliasis: a systematic review and meta-analysis</w:t>
      </w:r>
    </w:p>
    <w:p w14:paraId="30E81328" w14:textId="77777777" w:rsidR="00171755" w:rsidRPr="006978E3" w:rsidRDefault="00171755" w:rsidP="00DE7A12">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5233BDDF"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Background: </w:t>
      </w:r>
      <w:r w:rsidRPr="006978E3">
        <w:rPr>
          <w:rFonts w:ascii="Arial" w:hAnsi="Arial" w:cs="Arial"/>
          <w:color w:val="212121"/>
        </w:rPr>
        <w:t>Fascioliasis is a parasitic zoonosis that can infect humans and be a source of significant morbidity. The World Health Organization lists human fascioliasis as a neglected tropical disease, but the worldwide prevalence of fascioliasis data is unknown.</w:t>
      </w:r>
    </w:p>
    <w:p w14:paraId="2607F3C6"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Objective: </w:t>
      </w:r>
      <w:r w:rsidRPr="006978E3">
        <w:rPr>
          <w:rFonts w:ascii="Arial" w:hAnsi="Arial" w:cs="Arial"/>
          <w:color w:val="212121"/>
        </w:rPr>
        <w:t>We aimed to estimate the global prevalence of human fascioliasis.</w:t>
      </w:r>
    </w:p>
    <w:p w14:paraId="1A1FABA7"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Data sources and methods: </w:t>
      </w:r>
      <w:r w:rsidRPr="006978E3">
        <w:rPr>
          <w:rFonts w:ascii="Arial" w:hAnsi="Arial" w:cs="Arial"/>
          <w:color w:val="212121"/>
        </w:rPr>
        <w:t>We performed a systematic review and prevalence meta-analysis. We used the following inclusion criteria: articles published in the English, Portuguese, or Spanish languages from December 1985 to October 2022 and studies assessing the prevalence of </w:t>
      </w:r>
      <w:r w:rsidRPr="006978E3">
        <w:rPr>
          <w:rFonts w:ascii="Arial" w:hAnsi="Arial" w:cs="Arial"/>
          <w:i/>
          <w:iCs/>
          <w:color w:val="212121"/>
        </w:rPr>
        <w:t>Fasciola</w:t>
      </w:r>
      <w:r w:rsidRPr="006978E3">
        <w:rPr>
          <w:rFonts w:ascii="Arial" w:hAnsi="Arial" w:cs="Arial"/>
          <w:color w:val="212121"/>
        </w:rPr>
        <w:t> in the general population with an appropriate diagnostic methodology, including longitudinal studies, prospective and retrospective cohorts, case series, and randomized clinical trials (RCTs). We excluded animal studies. Two reviewers independently reviewed the selected studies for methodological quality, performing critical standard measures from JBI SUMARI. A random-effects model was conducted of the summary extracted data on the prevalence proportions. We reported the estimates according to the GATHER statement.</w:t>
      </w:r>
    </w:p>
    <w:p w14:paraId="4C08EC66"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In all, 5617 studies were screened for eligibility. Fifty-five studies from 15 countries were selected, including 154,697 patients and 3987 cases. The meta-analysis revealed a pooled prevalence of 4.5% [95% confidence interval (CI): 3.1-6.1; </w:t>
      </w:r>
      <w:r w:rsidRPr="006978E3">
        <w:rPr>
          <w:rFonts w:ascii="Arial" w:hAnsi="Arial" w:cs="Arial"/>
          <w:i/>
          <w:iCs/>
          <w:color w:val="212121"/>
        </w:rPr>
        <w:t>I</w:t>
      </w:r>
      <w:r w:rsidRPr="006978E3">
        <w:rPr>
          <w:rFonts w:ascii="Arial" w:hAnsi="Arial" w:cs="Arial"/>
          <w:color w:val="212121"/>
          <w:vertAlign w:val="superscript"/>
        </w:rPr>
        <w:t>2</w:t>
      </w:r>
      <w:r w:rsidRPr="006978E3">
        <w:rPr>
          <w:rFonts w:ascii="Arial" w:hAnsi="Arial" w:cs="Arial"/>
          <w:color w:val="212121"/>
        </w:rPr>
        <w:t> = 99.4%; </w:t>
      </w:r>
      <w:r w:rsidRPr="006978E3">
        <w:rPr>
          <w:rFonts w:ascii="Arial" w:hAnsi="Arial" w:cs="Arial"/>
          <w:i/>
          <w:iCs/>
          <w:color w:val="212121"/>
        </w:rPr>
        <w:t>T</w:t>
      </w:r>
      <w:r w:rsidRPr="006978E3">
        <w:rPr>
          <w:rFonts w:ascii="Arial" w:hAnsi="Arial" w:cs="Arial"/>
          <w:color w:val="212121"/>
          <w:vertAlign w:val="superscript"/>
        </w:rPr>
        <w:t>2</w:t>
      </w:r>
      <w:r w:rsidRPr="006978E3">
        <w:rPr>
          <w:rFonts w:ascii="Arial" w:hAnsi="Arial" w:cs="Arial"/>
          <w:color w:val="212121"/>
        </w:rPr>
        <w:t> = 0.07]. The prevalence in South America, Africa, and Asia was 9.0%, 4.8%, and 2.0%, respectively. The highest prevalence was found in Bolivia (21%), Peru (11%), and Egypt (6%). Subgroup analysis showed higher prevalence estimates in children, in studies from South America, and when Fas2-enzyme-linked immunosorbent assay (ELISA) was used as a diagnostic method. A larger study sample size (</w:t>
      </w:r>
      <w:r w:rsidRPr="006978E3">
        <w:rPr>
          <w:rFonts w:ascii="Arial" w:hAnsi="Arial" w:cs="Arial"/>
          <w:i/>
          <w:iCs/>
          <w:color w:val="212121"/>
        </w:rPr>
        <w:t>p</w:t>
      </w:r>
      <w:r w:rsidRPr="006978E3">
        <w:rPr>
          <w:rFonts w:ascii="Arial" w:hAnsi="Arial" w:cs="Arial"/>
          <w:color w:val="212121"/>
        </w:rPr>
        <w:t> = 0.027) and an increase in female percentage (</w:t>
      </w:r>
      <w:r w:rsidRPr="006978E3">
        <w:rPr>
          <w:rFonts w:ascii="Arial" w:hAnsi="Arial" w:cs="Arial"/>
          <w:i/>
          <w:iCs/>
          <w:color w:val="212121"/>
        </w:rPr>
        <w:t>p</w:t>
      </w:r>
      <w:r w:rsidRPr="006978E3">
        <w:rPr>
          <w:rFonts w:ascii="Arial" w:hAnsi="Arial" w:cs="Arial"/>
          <w:color w:val="212121"/>
        </w:rPr>
        <w:t> = 0.043) correlated with a decrease in prevalence. Multiple meta-regression showed a higher prevalence for hyperendemic than hypoendemic (</w:t>
      </w:r>
      <w:r w:rsidRPr="006978E3">
        <w:rPr>
          <w:rFonts w:ascii="Arial" w:hAnsi="Arial" w:cs="Arial"/>
          <w:i/>
          <w:iCs/>
          <w:color w:val="212121"/>
        </w:rPr>
        <w:t>p</w:t>
      </w:r>
      <w:r w:rsidRPr="006978E3">
        <w:rPr>
          <w:rFonts w:ascii="Arial" w:hAnsi="Arial" w:cs="Arial"/>
          <w:color w:val="212121"/>
        </w:rPr>
        <w:t> = 0.002) or mesoendemic (</w:t>
      </w:r>
      <w:r w:rsidRPr="006978E3">
        <w:rPr>
          <w:rFonts w:ascii="Arial" w:hAnsi="Arial" w:cs="Arial"/>
          <w:i/>
          <w:iCs/>
          <w:color w:val="212121"/>
        </w:rPr>
        <w:t>p</w:t>
      </w:r>
      <w:r w:rsidRPr="006978E3">
        <w:rPr>
          <w:rFonts w:ascii="Arial" w:hAnsi="Arial" w:cs="Arial"/>
          <w:color w:val="212121"/>
        </w:rPr>
        <w:t> = 0.013) regions.</w:t>
      </w:r>
    </w:p>
    <w:p w14:paraId="0D61F0E1"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 </w:t>
      </w:r>
      <w:r w:rsidRPr="006978E3">
        <w:rPr>
          <w:rFonts w:ascii="Arial" w:hAnsi="Arial" w:cs="Arial"/>
          <w:color w:val="212121"/>
        </w:rPr>
        <w:t>The estimated prevalence and projected disease burden of human fascioliasis are high. Study findings support that fascioliasis continues to be a globally neglected tropical disease. Strengthening epidemiological surveillance and implementing measures to control and treat fascioliasis is imperative in the most affected areas.</w:t>
      </w:r>
    </w:p>
    <w:p w14:paraId="0162A9D4"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F. gigantica; F. hepatica; epidemiology; human fascioliasis; meta-analysis; neglected tropical disease; prevalence; systematic review.</w:t>
      </w:r>
    </w:p>
    <w:p w14:paraId="1D910DA2" w14:textId="10B6ACF8" w:rsidR="00171755" w:rsidRPr="006978E3"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Medicina (Kaunas)</w:t>
      </w:r>
      <w:r w:rsidRPr="006978E3">
        <w:rPr>
          <w:rStyle w:val="period"/>
          <w:rFonts w:ascii="Arial" w:eastAsia="Times New Roman" w:hAnsi="Arial" w:cs="Arial"/>
          <w:color w:val="0071BC"/>
          <w:sz w:val="20"/>
          <w:szCs w:val="20"/>
        </w:rPr>
        <w:t>. </w:t>
      </w:r>
      <w:r w:rsidRPr="006978E3">
        <w:rPr>
          <w:rStyle w:val="cit"/>
          <w:rFonts w:ascii="Arial" w:eastAsia="Times New Roman" w:hAnsi="Arial" w:cs="Arial"/>
          <w:color w:val="5B616B"/>
          <w:sz w:val="20"/>
          <w:szCs w:val="20"/>
        </w:rPr>
        <w:t>2023 Jul 19;59(7):1330.</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10.3390/medicina59071330.</w:t>
      </w:r>
    </w:p>
    <w:p w14:paraId="60C4BB45"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Breastfeeding Practices and Postpartum Depression in Mexican Women during the COVID-19 Pandemic: A Cross-Sectional Study</w:t>
      </w:r>
    </w:p>
    <w:p w14:paraId="6290D229" w14:textId="77777777" w:rsidR="00171755" w:rsidRPr="006978E3" w:rsidRDefault="00171755" w:rsidP="00171755">
      <w:pPr>
        <w:spacing w:after="0"/>
        <w:rPr>
          <w:rFonts w:ascii="Arial" w:eastAsia="Times New Roman" w:hAnsi="Arial" w:cs="Arial"/>
          <w:sz w:val="20"/>
          <w:szCs w:val="20"/>
        </w:rPr>
      </w:pPr>
      <w:r w:rsidRPr="006978E3">
        <w:rPr>
          <w:rStyle w:val="free-label"/>
          <w:rFonts w:ascii="Arial" w:eastAsia="Times New Roman" w:hAnsi="Arial" w:cs="Arial"/>
          <w:b/>
          <w:bCs/>
          <w:color w:val="C05600"/>
          <w:sz w:val="20"/>
          <w:szCs w:val="20"/>
        </w:rPr>
        <w:t>Free PMC article</w:t>
      </w:r>
    </w:p>
    <w:p w14:paraId="68DB5D7D" w14:textId="77777777" w:rsidR="00171755" w:rsidRPr="006978E3" w:rsidRDefault="00171755" w:rsidP="00171755">
      <w:pPr>
        <w:pStyle w:val="Ttulo2"/>
        <w:shd w:val="clear" w:color="auto" w:fill="FFFFFF"/>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429E6225" w14:textId="77777777" w:rsidR="00171755" w:rsidRPr="006978E3" w:rsidRDefault="00171755" w:rsidP="00DE7A12">
      <w:pPr>
        <w:pStyle w:val="NormalWeb"/>
        <w:shd w:val="clear" w:color="auto" w:fill="FFFFFF"/>
        <w:jc w:val="both"/>
        <w:rPr>
          <w:rFonts w:ascii="Arial" w:hAnsi="Arial" w:cs="Arial"/>
          <w:color w:val="212121"/>
        </w:rPr>
      </w:pPr>
      <w:r w:rsidRPr="006978E3">
        <w:rPr>
          <w:rFonts w:ascii="Arial" w:hAnsi="Arial" w:cs="Arial"/>
          <w:i/>
          <w:iCs/>
          <w:color w:val="212121"/>
        </w:rPr>
        <w:t>Background</w:t>
      </w:r>
      <w:r w:rsidRPr="006978E3">
        <w:rPr>
          <w:rFonts w:ascii="Arial" w:hAnsi="Arial" w:cs="Arial"/>
          <w:color w:val="212121"/>
        </w:rPr>
        <w:t>: Breastfeeding is a characteristic process of mammals that ensures delivery of an adequate nutritional supply to infants. It is the gold standard food source during an infant's first months of life. Since the onset of the COVID-19 pandemic in 2020, people in quarantine have experienced a wide range of feelings, which may make isolation challenging in terms of maternal health. This study focused on the prevalence of breastfeeding practices and postpartum depression (PPD) among Mexican women during the COVID-19 pandemic. </w:t>
      </w:r>
      <w:r w:rsidRPr="006978E3">
        <w:rPr>
          <w:rFonts w:ascii="Arial" w:hAnsi="Arial" w:cs="Arial"/>
          <w:i/>
          <w:iCs/>
          <w:color w:val="212121"/>
        </w:rPr>
        <w:t>Materials and Methods</w:t>
      </w:r>
      <w:r w:rsidRPr="006978E3">
        <w:rPr>
          <w:rFonts w:ascii="Arial" w:hAnsi="Arial" w:cs="Arial"/>
          <w:color w:val="212121"/>
        </w:rPr>
        <w:t>: This cross-sectional study included 586 postpartum women who completed an online survey 4-8 weeks after delivery from April to December 2020 in Guadalajara, Mexico. The aim was to identify potentially depressed mothers according to the Edinburgh Postnatal Depression Scale (EPDS) and describe their breastfeeding practices. </w:t>
      </w:r>
      <w:r w:rsidRPr="006978E3">
        <w:rPr>
          <w:rFonts w:ascii="Arial" w:hAnsi="Arial" w:cs="Arial"/>
          <w:i/>
          <w:iCs/>
          <w:color w:val="212121"/>
        </w:rPr>
        <w:t>Results</w:t>
      </w:r>
      <w:r w:rsidRPr="006978E3">
        <w:rPr>
          <w:rFonts w:ascii="Arial" w:hAnsi="Arial" w:cs="Arial"/>
          <w:color w:val="212121"/>
        </w:rPr>
        <w:t>: The mean maternal age was 30.4 ± 4.6 years, the mean EPDS score was 9.6 ± 5.0, and the PPD prevalence according EPDS scores was 27.1%. Exclusive breastfeeding (EBF) was reported by 32.3% of mothers in the first 48 h and by 70.3% of mothers 48 h after delivery. EBF was associated with a lower prevalence of PPD during the first 48 h (</w:t>
      </w:r>
      <w:r w:rsidRPr="006978E3">
        <w:rPr>
          <w:rFonts w:ascii="Arial" w:hAnsi="Arial" w:cs="Arial"/>
          <w:i/>
          <w:iCs/>
          <w:color w:val="212121"/>
        </w:rPr>
        <w:t>p</w:t>
      </w:r>
      <w:r w:rsidRPr="006978E3">
        <w:rPr>
          <w:rFonts w:ascii="Arial" w:hAnsi="Arial" w:cs="Arial"/>
          <w:color w:val="212121"/>
        </w:rPr>
        <w:t> = 0.015) and after the first 48 h (</w:t>
      </w:r>
      <w:r w:rsidRPr="006978E3">
        <w:rPr>
          <w:rFonts w:ascii="Arial" w:hAnsi="Arial" w:cs="Arial"/>
          <w:i/>
          <w:iCs/>
          <w:color w:val="212121"/>
        </w:rPr>
        <w:t>p</w:t>
      </w:r>
      <w:r w:rsidRPr="006978E3">
        <w:rPr>
          <w:rFonts w:ascii="Arial" w:hAnsi="Arial" w:cs="Arial"/>
          <w:color w:val="212121"/>
        </w:rPr>
        <w:t> = 0.001) after delivery. Skin-to-skin contact (SSC) was reported by 385 (65.7%) mothers. PPD was less frequent in mothers practicing SSC (20.3%) than it was in those not practicing SSC (40.3%) (</w:t>
      </w:r>
      <w:r w:rsidRPr="006978E3">
        <w:rPr>
          <w:rFonts w:ascii="Arial" w:hAnsi="Arial" w:cs="Arial"/>
          <w:i/>
          <w:iCs/>
          <w:color w:val="212121"/>
        </w:rPr>
        <w:t>p</w:t>
      </w:r>
      <w:r w:rsidRPr="006978E3">
        <w:rPr>
          <w:rFonts w:ascii="Arial" w:hAnsi="Arial" w:cs="Arial"/>
          <w:color w:val="212121"/>
        </w:rPr>
        <w:t> = 0.001). A higher percentage of mothers practiced SSC breastfed (66.9%) and used EBF (150, 79.4%) (</w:t>
      </w:r>
      <w:r w:rsidRPr="006978E3">
        <w:rPr>
          <w:rFonts w:ascii="Arial" w:hAnsi="Arial" w:cs="Arial"/>
          <w:i/>
          <w:iCs/>
          <w:color w:val="212121"/>
        </w:rPr>
        <w:t>p</w:t>
      </w:r>
      <w:r w:rsidRPr="006978E3">
        <w:rPr>
          <w:rFonts w:ascii="Arial" w:hAnsi="Arial" w:cs="Arial"/>
          <w:color w:val="212121"/>
        </w:rPr>
        <w:t> = 0.012 and 0.001, respectively). </w:t>
      </w:r>
      <w:r w:rsidRPr="006978E3">
        <w:rPr>
          <w:rFonts w:ascii="Arial" w:hAnsi="Arial" w:cs="Arial"/>
          <w:i/>
          <w:iCs/>
          <w:color w:val="212121"/>
        </w:rPr>
        <w:t>Conclusions</w:t>
      </w:r>
      <w:r w:rsidRPr="006978E3">
        <w:rPr>
          <w:rFonts w:ascii="Arial" w:hAnsi="Arial" w:cs="Arial"/>
          <w:color w:val="212121"/>
        </w:rPr>
        <w:t>: Results suggest that the pandemic emergency and restrictions imposed on the population significantly affected the well-being of mothers after birth, and that these effects may have posed risks to the mental health and emotional stability of postpartum mothers. Therefore, encouraging BF or EBF and SSC may improve or limit depressive symptoms in postpartum mothers.</w:t>
      </w:r>
    </w:p>
    <w:p w14:paraId="37275D65" w14:textId="5BCC39C3" w:rsidR="00171755"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COVID-19; breastfeeding; pandemic; postpartum depression; skin-to-skin contact.</w:t>
      </w:r>
    </w:p>
    <w:p w14:paraId="44D0DADC" w14:textId="77777777" w:rsidR="00DE7A12" w:rsidRDefault="00DE7A12" w:rsidP="00DE7A12">
      <w:pPr>
        <w:pStyle w:val="NormalWeb"/>
        <w:shd w:val="clear" w:color="auto" w:fill="FFFFFF"/>
        <w:jc w:val="both"/>
        <w:rPr>
          <w:rFonts w:ascii="Arial" w:hAnsi="Arial" w:cs="Arial"/>
          <w:color w:val="212121"/>
        </w:rPr>
      </w:pPr>
    </w:p>
    <w:p w14:paraId="1B690EC7" w14:textId="77777777" w:rsidR="00DE7A12" w:rsidRDefault="00DE7A12" w:rsidP="00DE7A12">
      <w:pPr>
        <w:pStyle w:val="NormalWeb"/>
        <w:shd w:val="clear" w:color="auto" w:fill="FFFFFF"/>
        <w:jc w:val="both"/>
        <w:rPr>
          <w:rFonts w:ascii="Arial" w:hAnsi="Arial" w:cs="Arial"/>
          <w:color w:val="212121"/>
        </w:rPr>
      </w:pPr>
    </w:p>
    <w:p w14:paraId="2868AE81" w14:textId="77777777" w:rsidR="00DE7A12" w:rsidRDefault="00DE7A12" w:rsidP="00DE7A12">
      <w:pPr>
        <w:pStyle w:val="NormalWeb"/>
        <w:shd w:val="clear" w:color="auto" w:fill="FFFFFF"/>
        <w:jc w:val="both"/>
        <w:rPr>
          <w:rFonts w:ascii="Arial" w:hAnsi="Arial" w:cs="Arial"/>
          <w:color w:val="212121"/>
        </w:rPr>
      </w:pPr>
    </w:p>
    <w:p w14:paraId="52FB45E8" w14:textId="77777777" w:rsidR="00DE7A12" w:rsidRDefault="00DE7A12" w:rsidP="00DE7A12">
      <w:pPr>
        <w:pStyle w:val="NormalWeb"/>
        <w:shd w:val="clear" w:color="auto" w:fill="FFFFFF"/>
        <w:jc w:val="both"/>
        <w:rPr>
          <w:rFonts w:ascii="Arial" w:hAnsi="Arial" w:cs="Arial"/>
          <w:color w:val="212121"/>
        </w:rPr>
      </w:pPr>
    </w:p>
    <w:p w14:paraId="0CB5B438" w14:textId="77777777" w:rsidR="00DE7A12" w:rsidRDefault="00DE7A12" w:rsidP="00DE7A12">
      <w:pPr>
        <w:pStyle w:val="NormalWeb"/>
        <w:shd w:val="clear" w:color="auto" w:fill="FFFFFF"/>
        <w:jc w:val="both"/>
        <w:rPr>
          <w:rFonts w:ascii="Arial" w:hAnsi="Arial" w:cs="Arial"/>
          <w:color w:val="212121"/>
        </w:rPr>
      </w:pPr>
    </w:p>
    <w:p w14:paraId="31CF8124" w14:textId="77777777" w:rsidR="00DE7A12" w:rsidRDefault="00DE7A12" w:rsidP="00DE7A12">
      <w:pPr>
        <w:pStyle w:val="NormalWeb"/>
        <w:shd w:val="clear" w:color="auto" w:fill="FFFFFF"/>
        <w:jc w:val="both"/>
        <w:rPr>
          <w:rFonts w:ascii="Arial" w:hAnsi="Arial" w:cs="Arial"/>
          <w:color w:val="212121"/>
        </w:rPr>
      </w:pPr>
    </w:p>
    <w:p w14:paraId="009A0FC8" w14:textId="77777777" w:rsidR="00DE7A12" w:rsidRDefault="00DE7A12" w:rsidP="00DE7A12">
      <w:pPr>
        <w:pStyle w:val="NormalWeb"/>
        <w:shd w:val="clear" w:color="auto" w:fill="FFFFFF"/>
        <w:jc w:val="both"/>
        <w:rPr>
          <w:rFonts w:ascii="Arial" w:hAnsi="Arial" w:cs="Arial"/>
          <w:color w:val="212121"/>
        </w:rPr>
      </w:pPr>
    </w:p>
    <w:p w14:paraId="315C2CFF" w14:textId="77777777" w:rsidR="00DE7A12" w:rsidRPr="00F75A36" w:rsidRDefault="00DE7A12" w:rsidP="00DE7A12">
      <w:pPr>
        <w:pStyle w:val="NormalWeb"/>
        <w:shd w:val="clear" w:color="auto" w:fill="FFFFFF"/>
        <w:jc w:val="both"/>
        <w:rPr>
          <w:rFonts w:ascii="Arial" w:hAnsi="Arial" w:cs="Arial"/>
          <w:color w:val="212121"/>
        </w:rPr>
      </w:pPr>
    </w:p>
    <w:p w14:paraId="0966830E" w14:textId="35F7F0CC" w:rsidR="00171755" w:rsidRPr="00F75A36" w:rsidRDefault="00171755" w:rsidP="00171755">
      <w:pPr>
        <w:rPr>
          <w:rFonts w:ascii="Arial" w:eastAsia="Times New Roman" w:hAnsi="Arial" w:cs="Arial"/>
          <w:color w:val="5B616B"/>
          <w:sz w:val="20"/>
          <w:szCs w:val="20"/>
        </w:rPr>
      </w:pPr>
      <w:r w:rsidRPr="006978E3">
        <w:rPr>
          <w:rFonts w:ascii="Arial" w:eastAsia="Times New Roman" w:hAnsi="Arial" w:cs="Arial"/>
          <w:color w:val="5B616B"/>
          <w:sz w:val="20"/>
          <w:szCs w:val="20"/>
        </w:rPr>
        <w:lastRenderedPageBreak/>
        <w:t>BMC Gastroenterol</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3;23(1):229.</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10.1186/s12876-023-02863-8.</w:t>
      </w:r>
    </w:p>
    <w:p w14:paraId="3CBE7625"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Effectiveness of Saccharomyces Boulardii CNCM I-745 probiotic in acute inflammatory viral diarrhoea in adults: results from a single-centre randomized trial</w:t>
      </w:r>
    </w:p>
    <w:p w14:paraId="20B19840" w14:textId="77777777" w:rsidR="00171755" w:rsidRPr="006978E3" w:rsidRDefault="00171755" w:rsidP="00DE7A12">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582A8EB7"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Background: </w:t>
      </w:r>
      <w:r w:rsidRPr="006978E3">
        <w:rPr>
          <w:rFonts w:ascii="Arial" w:hAnsi="Arial" w:cs="Arial"/>
          <w:color w:val="212121"/>
        </w:rPr>
        <w:t>Probiotics are effective for treating acute infectious diarrhoea caused by bacteria, but there are inconsistent results for the effectiveness of probiotics for diarrhoea caused by viruses. In this article we want to determine whether Sb supplementation has an effect on acute inflammatory viral diarrhoea diagnosed with the multiplex panel PCR test. The aim of this study was to evaluate the efficacy of Saccharomyces boulardii (Sb) as a treatment in patients diagnosed with viral acute diarrhoea.</w:t>
      </w:r>
    </w:p>
    <w:p w14:paraId="73B1D68C"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Methods: </w:t>
      </w:r>
      <w:r w:rsidRPr="006978E3">
        <w:rPr>
          <w:rFonts w:ascii="Arial" w:hAnsi="Arial" w:cs="Arial"/>
          <w:color w:val="212121"/>
        </w:rPr>
        <w:t>From February 2021 to December 2021, 46 patients with a confirmed diagnosis of viral acute diarrhoea diagnosed with the polymerase chain reaction multiplex assay were enrolled in a double-blind, randomized placebo-controlled trial. Patients received paracetamol 500 mg as a standard analgesic and 200 mg of Trimebutine as an antispasmodic treatment plus 600 mg of Sb (n = 23, 1 × 109/100 mL Colony forming unit) or a placebo (n = 23) orally once daily for eight days. The improvement in and severity of symptoms were measured using a symptom diary, the Patient Global Impression and the Patient Global Impression of Change scales (days 4 and 8), both answered and recorded by the patient.</w:t>
      </w:r>
    </w:p>
    <w:p w14:paraId="0880B16C"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Of the 46 patients who completed treatment, 24 (52%) were men and 22 (48%) were women. The average age was 35.6 ± 12.28 years (range 18 to 61 years). The average duration of the evolution of illness at the time of diagnosis was 0.85 ± 0.73 days (maximum 2 days). On day 4 after the diagnosis, 20% reported pain and 2% reported fever, but on day 8, no patient reported pain or fever. On day 4, 70% of patients in the Sb group and 26% in the placebo group reported improvement (P = 0.03), based on the Patients' Global Impression of Change scale, which assesses patient's rating of overall improvement. These findings suggest that 3 to 4 days of treatment with Sb helped to improve symptoms of diarrhoea caused by a virus.</w:t>
      </w:r>
    </w:p>
    <w:p w14:paraId="4C2339C0"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 </w:t>
      </w:r>
      <w:r w:rsidRPr="006978E3">
        <w:rPr>
          <w:rFonts w:ascii="Arial" w:hAnsi="Arial" w:cs="Arial"/>
          <w:color w:val="212121"/>
        </w:rPr>
        <w:t>Treatment with Sb on acute inflammatory diarrhoea of viral aetiology shows no changes regarding the severity of the symptoms; nevertheless, it seems to impact improvement positively.</w:t>
      </w:r>
    </w:p>
    <w:p w14:paraId="49ADEC9A" w14:textId="5B3B34DD" w:rsidR="00171755" w:rsidRPr="00F75A36"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JAMA</w:t>
      </w:r>
      <w:r w:rsidRPr="006978E3">
        <w:rPr>
          <w:rStyle w:val="period"/>
          <w:rFonts w:ascii="Arial" w:eastAsia="Times New Roman" w:hAnsi="Arial" w:cs="Arial"/>
          <w:color w:val="0071BC"/>
          <w:sz w:val="20"/>
          <w:szCs w:val="20"/>
        </w:rPr>
        <w:t>. </w:t>
      </w:r>
      <w:r w:rsidRPr="006978E3">
        <w:rPr>
          <w:rStyle w:val="cit"/>
          <w:rFonts w:ascii="Arial" w:eastAsia="Times New Roman" w:hAnsi="Arial" w:cs="Arial"/>
          <w:color w:val="5B616B"/>
          <w:sz w:val="20"/>
          <w:szCs w:val="20"/>
        </w:rPr>
        <w:t>2023 Jul 25;330(4):328-339.</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10.1001/jama.2023.11043.</w:t>
      </w:r>
    </w:p>
    <w:p w14:paraId="305AB912"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Abatacept, Cenicriviroc, or Infliximab for Treatment of Adults Hospitalized With COVID-19 Pneumonia: A Randomized Clinical Trial</w:t>
      </w:r>
    </w:p>
    <w:p w14:paraId="1E394298" w14:textId="77777777" w:rsidR="00171755" w:rsidRPr="006978E3" w:rsidRDefault="00171755" w:rsidP="00171755">
      <w:pPr>
        <w:pStyle w:val="Ttulo2"/>
        <w:shd w:val="clear" w:color="auto" w:fill="FFFFFF"/>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15BC84CF" w14:textId="77777777" w:rsidR="00171755" w:rsidRPr="006978E3" w:rsidRDefault="00171755" w:rsidP="00171755">
      <w:pPr>
        <w:pStyle w:val="NormalWeb"/>
        <w:shd w:val="clear" w:color="auto" w:fill="FFFFFF"/>
        <w:rPr>
          <w:rFonts w:ascii="Arial" w:hAnsi="Arial" w:cs="Arial"/>
          <w:color w:val="212121"/>
        </w:rPr>
      </w:pPr>
      <w:r w:rsidRPr="006978E3">
        <w:rPr>
          <w:rStyle w:val="Textoennegrita"/>
          <w:rFonts w:ascii="Arial" w:hAnsi="Arial" w:cs="Arial"/>
          <w:color w:val="212121"/>
        </w:rPr>
        <w:t>Importance: </w:t>
      </w:r>
      <w:r w:rsidRPr="006978E3">
        <w:rPr>
          <w:rFonts w:ascii="Arial" w:hAnsi="Arial" w:cs="Arial"/>
          <w:color w:val="212121"/>
        </w:rPr>
        <w:t>Immune dysregulation contributes to poorer outcomes in COVID-19.</w:t>
      </w:r>
    </w:p>
    <w:p w14:paraId="7C3FA687"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Objective: </w:t>
      </w:r>
      <w:r w:rsidRPr="006978E3">
        <w:rPr>
          <w:rFonts w:ascii="Arial" w:hAnsi="Arial" w:cs="Arial"/>
          <w:color w:val="212121"/>
        </w:rPr>
        <w:t>To investigate whether abatacept, cenicriviroc, or infliximab provides benefit when added to standard care for COVID-19 pneumonia.</w:t>
      </w:r>
    </w:p>
    <w:p w14:paraId="30E48520"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Design, setting, and participants: </w:t>
      </w:r>
      <w:r w:rsidRPr="006978E3">
        <w:rPr>
          <w:rFonts w:ascii="Arial" w:hAnsi="Arial" w:cs="Arial"/>
          <w:color w:val="212121"/>
        </w:rPr>
        <w:t>Randomized, double-masked, placebo-controlled clinical trial using a master protocol to investigate immunomodulators added to standard care for treatment of participants hospitalized with COVID-19 pneumonia. The results of 3 substudies are reported from 95 hospitals at 85 clinical research sites in the US and Latin America. Hospitalized patients 18 years or older with confirmed SARS-CoV-2 infection within 14 days and evidence of pulmonary involvement underwent randomization between October 2020 and December 2021.</w:t>
      </w:r>
    </w:p>
    <w:p w14:paraId="49D3EEAC"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Interventions: </w:t>
      </w:r>
      <w:r w:rsidRPr="006978E3">
        <w:rPr>
          <w:rFonts w:ascii="Arial" w:hAnsi="Arial" w:cs="Arial"/>
          <w:color w:val="212121"/>
        </w:rPr>
        <w:t>Single infusion of abatacept (10 mg/kg; maximum dose, 1000 mg) or infliximab (5 mg/kg) or a 28-day oral course of cenicriviroc (300-mg loading dose followed by 150 mg twice per day).</w:t>
      </w:r>
    </w:p>
    <w:p w14:paraId="6278125A"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Main outcomes and measures: </w:t>
      </w:r>
      <w:r w:rsidRPr="006978E3">
        <w:rPr>
          <w:rFonts w:ascii="Arial" w:hAnsi="Arial" w:cs="Arial"/>
          <w:color w:val="212121"/>
        </w:rPr>
        <w:t>The primary outcome was time to recovery by day 28 evaluated using an 8-point ordinal scale (higher scores indicate better health). Recovery was defined as the first day the participant scored at least 6 on the ordinal scale.</w:t>
      </w:r>
    </w:p>
    <w:p w14:paraId="3364E6AE"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Of the 1971 participants randomized across the 3 substudies, the mean (SD) age was 54.8 (14.6) years and 1218 (61.8%) were men. The primary end point of time to recovery from COVID-19 pneumonia was not significantly different for abatacept (recovery rate ratio [RRR], 1.12 [95% CI, 0.98-1.28]; P = .09), cenicriviroc (RRR, 1.01 [95% CI, 0.86-1.18]; P = .94), or infliximab (RRR, 1.12 [95% CI, 0.99-1.28]; P = .08) compared with placebo. All-cause 28-day mortality was 11.0% for abatacept vs 15.1% for placebo (odds ratio [OR], 0.62 [95% CI, 0.41-0.94]), 13.8% for cenicriviroc vs 11.9% for placebo (OR, 1.18 [95% CI 0.72-1.94]), and 10.1% for infliximab vs 14.5% for placebo (OR, 0.59 [95% CI, 0.39-0.90]). Safety outcomes were comparable between active treatment and placebo, including secondary infections, in all 3 substudies.</w:t>
      </w:r>
    </w:p>
    <w:p w14:paraId="40F26ED6"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Conclusions and relevance: </w:t>
      </w:r>
      <w:r w:rsidRPr="006978E3">
        <w:rPr>
          <w:rFonts w:ascii="Arial" w:hAnsi="Arial" w:cs="Arial"/>
          <w:color w:val="212121"/>
        </w:rPr>
        <w:t>Time to recovery from COVID-19 pneumonia among hospitalized participants was not significantly different for abatacept, cenicriviroc, or infliximab vs placebo.</w:t>
      </w:r>
    </w:p>
    <w:p w14:paraId="2F65A9D8" w14:textId="77777777" w:rsidR="00DE7A12" w:rsidRDefault="00DE7A12" w:rsidP="00DE7A12">
      <w:pPr>
        <w:pStyle w:val="NormalWeb"/>
        <w:shd w:val="clear" w:color="auto" w:fill="FFFFFF"/>
        <w:jc w:val="both"/>
        <w:rPr>
          <w:rStyle w:val="Textoennegrita"/>
          <w:rFonts w:ascii="Arial" w:hAnsi="Arial" w:cs="Arial"/>
          <w:color w:val="212121"/>
        </w:rPr>
      </w:pPr>
    </w:p>
    <w:p w14:paraId="6A3198E2" w14:textId="77777777" w:rsidR="00DE7A12" w:rsidRDefault="00DE7A12" w:rsidP="00DE7A12">
      <w:pPr>
        <w:pStyle w:val="NormalWeb"/>
        <w:shd w:val="clear" w:color="auto" w:fill="FFFFFF"/>
        <w:jc w:val="both"/>
        <w:rPr>
          <w:rStyle w:val="Textoennegrita"/>
          <w:rFonts w:ascii="Arial" w:hAnsi="Arial" w:cs="Arial"/>
          <w:color w:val="212121"/>
        </w:rPr>
      </w:pPr>
    </w:p>
    <w:p w14:paraId="0BC31901" w14:textId="77777777" w:rsidR="00DE7A12" w:rsidRDefault="00DE7A12" w:rsidP="00DE7A12">
      <w:pPr>
        <w:pStyle w:val="NormalWeb"/>
        <w:shd w:val="clear" w:color="auto" w:fill="FFFFFF"/>
        <w:jc w:val="both"/>
        <w:rPr>
          <w:rStyle w:val="Textoennegrita"/>
          <w:rFonts w:ascii="Arial" w:hAnsi="Arial" w:cs="Arial"/>
          <w:color w:val="212121"/>
        </w:rPr>
      </w:pPr>
    </w:p>
    <w:p w14:paraId="56A2FB5A" w14:textId="77777777" w:rsidR="00DE7A12" w:rsidRDefault="00DE7A12" w:rsidP="00DE7A12">
      <w:pPr>
        <w:pStyle w:val="NormalWeb"/>
        <w:shd w:val="clear" w:color="auto" w:fill="FFFFFF"/>
        <w:jc w:val="both"/>
        <w:rPr>
          <w:rStyle w:val="Textoennegrita"/>
          <w:rFonts w:ascii="Arial" w:hAnsi="Arial" w:cs="Arial"/>
          <w:color w:val="212121"/>
        </w:rPr>
      </w:pPr>
    </w:p>
    <w:p w14:paraId="45918A2E" w14:textId="77777777" w:rsidR="00DE7A12" w:rsidRDefault="00DE7A12" w:rsidP="00DE7A12">
      <w:pPr>
        <w:pStyle w:val="NormalWeb"/>
        <w:shd w:val="clear" w:color="auto" w:fill="FFFFFF"/>
        <w:jc w:val="both"/>
        <w:rPr>
          <w:rStyle w:val="Textoennegrita"/>
          <w:rFonts w:ascii="Arial" w:hAnsi="Arial" w:cs="Arial"/>
          <w:color w:val="212121"/>
        </w:rPr>
      </w:pPr>
    </w:p>
    <w:p w14:paraId="35BBCEA1" w14:textId="3836F51A" w:rsidR="00171755" w:rsidRPr="00F75A36" w:rsidRDefault="00171755" w:rsidP="00DE7A12">
      <w:pPr>
        <w:pStyle w:val="NormalWeb"/>
        <w:shd w:val="clear" w:color="auto" w:fill="FFFFFF"/>
        <w:jc w:val="both"/>
        <w:rPr>
          <w:rFonts w:ascii="Arial" w:hAnsi="Arial" w:cs="Arial"/>
          <w:color w:val="212121"/>
        </w:rPr>
      </w:pPr>
      <w:r w:rsidRPr="006978E3">
        <w:rPr>
          <w:rFonts w:ascii="Arial" w:eastAsia="Times New Roman" w:hAnsi="Arial" w:cs="Arial"/>
          <w:color w:val="5B616B"/>
        </w:rPr>
        <w:lastRenderedPageBreak/>
        <w:t>Thorac Res Pract</w:t>
      </w:r>
      <w:r w:rsidRPr="00F75A36">
        <w:rPr>
          <w:rStyle w:val="period"/>
          <w:rFonts w:ascii="Arial" w:eastAsia="Times New Roman" w:hAnsi="Arial" w:cs="Arial"/>
          <w:color w:val="0071BC"/>
        </w:rPr>
        <w:t>. </w:t>
      </w:r>
      <w:r w:rsidRPr="00F75A36">
        <w:rPr>
          <w:rStyle w:val="cit"/>
          <w:rFonts w:ascii="Arial" w:eastAsia="Times New Roman" w:hAnsi="Arial" w:cs="Arial"/>
          <w:color w:val="5B616B"/>
        </w:rPr>
        <w:t>2023 Jul;24(4):208-213.</w:t>
      </w:r>
      <w:r w:rsidRPr="006978E3">
        <w:rPr>
          <w:rFonts w:ascii="Arial" w:eastAsia="Times New Roman" w:hAnsi="Arial" w:cs="Arial"/>
        </w:rPr>
        <w:t> </w:t>
      </w:r>
      <w:r w:rsidRPr="006978E3">
        <w:rPr>
          <w:rStyle w:val="citation-doi"/>
          <w:rFonts w:ascii="Arial" w:eastAsia="Times New Roman" w:hAnsi="Arial" w:cs="Arial"/>
          <w:color w:val="5B616B"/>
        </w:rPr>
        <w:t>doi: 10.5152/ThoracResPract.2023.22154.</w:t>
      </w:r>
    </w:p>
    <w:p w14:paraId="00F2D068" w14:textId="77777777" w:rsidR="00171755" w:rsidRPr="006978E3" w:rsidRDefault="00171755" w:rsidP="00DE7A12">
      <w:pPr>
        <w:pStyle w:val="Ttulo1"/>
        <w:jc w:val="both"/>
        <w:rPr>
          <w:rFonts w:ascii="Arial" w:eastAsia="Times New Roman" w:hAnsi="Arial" w:cs="Arial"/>
          <w:sz w:val="20"/>
          <w:szCs w:val="20"/>
        </w:rPr>
      </w:pPr>
      <w:r w:rsidRPr="006978E3">
        <w:rPr>
          <w:rFonts w:ascii="Arial" w:eastAsia="Times New Roman" w:hAnsi="Arial" w:cs="Arial"/>
          <w:sz w:val="20"/>
          <w:szCs w:val="20"/>
        </w:rPr>
        <w:t>Serum Vitamin D Is Inversely Associated with Blood Eosinophil Count Among Adults with Allergic Asthma</w:t>
      </w:r>
    </w:p>
    <w:p w14:paraId="2F6E9FD5" w14:textId="77777777" w:rsidR="00171755" w:rsidRPr="006978E3" w:rsidRDefault="00171755" w:rsidP="00DE7A12">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41F66C0C"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Objective: </w:t>
      </w:r>
      <w:r w:rsidRPr="006978E3">
        <w:rPr>
          <w:rFonts w:ascii="Arial" w:hAnsi="Arial" w:cs="Arial"/>
          <w:color w:val="212121"/>
        </w:rPr>
        <w:t>To evaluate the role that serum vitamin D concentration plays in the number of eosinophils in peripheral blood in adults with allergic asthma.</w:t>
      </w:r>
    </w:p>
    <w:p w14:paraId="259BCEA5"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Material and methods: </w:t>
      </w:r>
      <w:r w:rsidRPr="006978E3">
        <w:rPr>
          <w:rFonts w:ascii="Arial" w:hAnsi="Arial" w:cs="Arial"/>
          <w:color w:val="212121"/>
        </w:rPr>
        <w:t>A total of 142 patients were categorized based on different cutoff points for eosinophils: ≥200, ≥300, ≥400, and ≥500 cells/mL. The vitamin D concentration was stratified into &lt;20 and ≥20 ng/mL. The association between vitamin D (independent variable) and eosinophils (dependent variable) was explored using multivariate analysis.</w:t>
      </w:r>
    </w:p>
    <w:p w14:paraId="655351F4"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The average number of eosinophils in the included patients was 418 cells/mL, and 33.8% of the included patients had vita- min D concentrations ≥20 ng/mL. Asthmatic patients with vitamin D&lt; 20 ng/mL had a higher mean concentration of eosinophils than did asthmatic patients with vitamin D ≥20 ng/mL (464 ± 377.7 eosinophils/mL vs. 327.8 ± 247.2 eosinophils/mL, P = .025). We also observed that vitamin D was inversely correlated with eosinophil count (rho = 0.244, P = .003). In the multivariate analysis, vitamin D &lt;20 ng/mL showed a significant inverse association with each cutoff value for eosinophilia (odds ratio &gt;1).</w:t>
      </w:r>
    </w:p>
    <w:p w14:paraId="487BD874" w14:textId="77777777" w:rsidR="00171755" w:rsidRPr="006978E3" w:rsidRDefault="00171755" w:rsidP="00DE7A12">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 </w:t>
      </w:r>
      <w:r w:rsidRPr="006978E3">
        <w:rPr>
          <w:rFonts w:ascii="Arial" w:hAnsi="Arial" w:cs="Arial"/>
          <w:color w:val="212121"/>
        </w:rPr>
        <w:t>Vitamin D concentrations &lt;20 ng/mL are associated with a significant increase in the number of eosinophils in blood. Studies that analyze the use of vitamin D supplements as complementary therapy for the treatment of asthma are needed.</w:t>
      </w:r>
    </w:p>
    <w:p w14:paraId="522BB9AC" w14:textId="77777777" w:rsidR="00171755" w:rsidRPr="006978E3" w:rsidRDefault="00171755" w:rsidP="00171755">
      <w:pPr>
        <w:shd w:val="clear" w:color="auto" w:fill="FFFFFF"/>
        <w:rPr>
          <w:rFonts w:ascii="Arial" w:eastAsia="Times New Roman" w:hAnsi="Arial" w:cs="Arial"/>
          <w:color w:val="212121"/>
          <w:sz w:val="20"/>
          <w:szCs w:val="20"/>
        </w:rPr>
      </w:pPr>
    </w:p>
    <w:p w14:paraId="472FE7B3" w14:textId="0267EF55" w:rsidR="00171755" w:rsidRPr="00F75A36" w:rsidRDefault="00171755" w:rsidP="00DE7A12">
      <w:pPr>
        <w:jc w:val="both"/>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Lancet Oncol</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7;S1470-2045(23)00285-1.</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10.1016/S1470-2045(23)00285-1.</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13D89386" w14:textId="77777777" w:rsidR="00171755" w:rsidRPr="006978E3" w:rsidRDefault="00171755" w:rsidP="00DE7A12">
      <w:pPr>
        <w:pStyle w:val="Ttulo1"/>
        <w:jc w:val="both"/>
        <w:rPr>
          <w:rFonts w:ascii="Arial" w:eastAsia="Times New Roman" w:hAnsi="Arial" w:cs="Arial"/>
          <w:sz w:val="20"/>
          <w:szCs w:val="20"/>
        </w:rPr>
      </w:pPr>
      <w:r w:rsidRPr="006978E3">
        <w:rPr>
          <w:rFonts w:ascii="Arial" w:eastAsia="Times New Roman" w:hAnsi="Arial" w:cs="Arial"/>
          <w:sz w:val="20"/>
          <w:szCs w:val="20"/>
        </w:rPr>
        <w:t>Effect of paediatric early warning systems (PEWS) implementation on clinical deterioration event mortality among children with cancer in resource-limited hospitals in Latin America: a prospective, multicentre cohort study</w:t>
      </w:r>
    </w:p>
    <w:p w14:paraId="74936E0F" w14:textId="77777777" w:rsidR="00171755" w:rsidRPr="00DE7A12" w:rsidRDefault="00171755" w:rsidP="00DE7A12">
      <w:pPr>
        <w:pStyle w:val="Ttulo2"/>
        <w:shd w:val="clear" w:color="auto" w:fill="FFFFFF"/>
        <w:jc w:val="both"/>
        <w:rPr>
          <w:rFonts w:ascii="Arial" w:eastAsia="Times New Roman" w:hAnsi="Arial" w:cs="Arial"/>
          <w:color w:val="212121"/>
          <w:sz w:val="18"/>
          <w:szCs w:val="20"/>
        </w:rPr>
      </w:pPr>
      <w:r w:rsidRPr="00DE7A12">
        <w:rPr>
          <w:rFonts w:ascii="Arial" w:eastAsia="Times New Roman" w:hAnsi="Arial" w:cs="Arial"/>
          <w:color w:val="212121"/>
          <w:sz w:val="18"/>
          <w:szCs w:val="20"/>
        </w:rPr>
        <w:t>Abstract</w:t>
      </w:r>
    </w:p>
    <w:p w14:paraId="56F21EA6" w14:textId="77777777" w:rsidR="00171755" w:rsidRPr="00DE7A12" w:rsidRDefault="00171755" w:rsidP="00DE7A12">
      <w:pPr>
        <w:pStyle w:val="NormalWeb"/>
        <w:shd w:val="clear" w:color="auto" w:fill="FFFFFF"/>
        <w:jc w:val="both"/>
        <w:rPr>
          <w:rFonts w:ascii="Arial" w:hAnsi="Arial" w:cs="Arial"/>
          <w:color w:val="212121"/>
          <w:sz w:val="18"/>
        </w:rPr>
      </w:pPr>
      <w:r w:rsidRPr="00DE7A12">
        <w:rPr>
          <w:rStyle w:val="Textoennegrita"/>
          <w:rFonts w:ascii="Arial" w:hAnsi="Arial" w:cs="Arial"/>
          <w:color w:val="212121"/>
          <w:sz w:val="18"/>
        </w:rPr>
        <w:t>Background: </w:t>
      </w:r>
      <w:r w:rsidRPr="00DE7A12">
        <w:rPr>
          <w:rFonts w:ascii="Arial" w:hAnsi="Arial" w:cs="Arial"/>
          <w:color w:val="212121"/>
          <w:sz w:val="18"/>
        </w:rPr>
        <w:t>Paediatric early warning systems (PEWS) aid in the early identification of clinical deterioration events in children admitted to hospital. We aimed to investigate the effect of PEWS implementation on mortality due to clinical deterioration in children with cancer in 32 resource-limited hospitals across Latin America.</w:t>
      </w:r>
    </w:p>
    <w:p w14:paraId="218EA10C" w14:textId="77777777" w:rsidR="00171755" w:rsidRPr="00DE7A12" w:rsidRDefault="00171755" w:rsidP="00DE7A12">
      <w:pPr>
        <w:pStyle w:val="NormalWeb"/>
        <w:shd w:val="clear" w:color="auto" w:fill="FFFFFF"/>
        <w:jc w:val="both"/>
        <w:rPr>
          <w:rFonts w:ascii="Arial" w:hAnsi="Arial" w:cs="Arial"/>
          <w:color w:val="212121"/>
          <w:sz w:val="18"/>
        </w:rPr>
      </w:pPr>
      <w:r w:rsidRPr="00DE7A12">
        <w:rPr>
          <w:rStyle w:val="Textoennegrita"/>
          <w:rFonts w:ascii="Arial" w:hAnsi="Arial" w:cs="Arial"/>
          <w:color w:val="212121"/>
          <w:sz w:val="18"/>
        </w:rPr>
        <w:t>Methods: </w:t>
      </w:r>
      <w:r w:rsidRPr="00DE7A12">
        <w:rPr>
          <w:rFonts w:ascii="Arial" w:hAnsi="Arial" w:cs="Arial"/>
          <w:color w:val="212121"/>
          <w:sz w:val="18"/>
        </w:rPr>
        <w:t>Proyecto Escala de Valoración de Alerta Temprana (Proyecto EVAT) is a quality improvement collaborative to implement PEWS in hospitals providing childhood cancer care. In this prospective, multicentre cohort study, centres joining Proyecto EVAT and completing PEWS implementation between April 1, 2017, and May 31, 2021, prospectively tracked clinical deterioration events and monthly inpatient-days in children admitted to hospital with cancer. De-identified registry data reported between April 17, 2017, and Nov 30, 2021, from all hospitals were included in analyses; children with limitations on escalation of care were excluded. The primary outcome was clinical deterioration event mortality. Incidence rate ratios (IRRs) were used to compare clinical deterioration event mortality before and after PEWS implementation; multivariable analyses assessed the correlation between clinical deterioration event mortality and centre characteristics.</w:t>
      </w:r>
    </w:p>
    <w:p w14:paraId="77C4FB8F" w14:textId="77777777" w:rsidR="00171755" w:rsidRPr="00DE7A12" w:rsidRDefault="00171755" w:rsidP="00DE7A12">
      <w:pPr>
        <w:pStyle w:val="NormalWeb"/>
        <w:shd w:val="clear" w:color="auto" w:fill="FFFFFF"/>
        <w:jc w:val="both"/>
        <w:rPr>
          <w:rFonts w:ascii="Arial" w:hAnsi="Arial" w:cs="Arial"/>
          <w:color w:val="212121"/>
          <w:sz w:val="18"/>
        </w:rPr>
      </w:pPr>
      <w:r w:rsidRPr="00DE7A12">
        <w:rPr>
          <w:rStyle w:val="Textoennegrita"/>
          <w:rFonts w:ascii="Arial" w:hAnsi="Arial" w:cs="Arial"/>
          <w:color w:val="212121"/>
          <w:sz w:val="18"/>
        </w:rPr>
        <w:t>Findings: </w:t>
      </w:r>
      <w:r w:rsidRPr="00DE7A12">
        <w:rPr>
          <w:rFonts w:ascii="Arial" w:hAnsi="Arial" w:cs="Arial"/>
          <w:color w:val="212121"/>
          <w:sz w:val="18"/>
        </w:rPr>
        <w:t>Between April 1, 2017, and May 31, 2021, 32 paediatric oncology centres from 11 countries in Latin America successfully implemented PEWS through Proyecto EVAT; these centres documented 2020 clinical deterioration events in 1651 patients over 556 400 inpatient-days. Overall clinical deterioration event mortality was 32·9% (664 of 2020 events). The median age of patients with clinical deterioration events was 8·5 years (IQR 3·9-13·2), and 1095 (54·2%) of 2020 clinical deterioration events were reported in male patients; data on race or ethnicity were not collected. Data were reported per centre for a median of 12 months (IQR 10-13) before PEWS implementation and 18 months (16-18) after PEWS implementation. The mortality rate due to a clinical deterioration event was 1·33 events per 1000 patient-days before PEWS implementation and 1·09 events per 1000 patient-days after PEWS implementation (IRR 0·82 [95% CI 0·69-0·97]; p=0·021). In the multivariable analysis of centre characteristics, higher clinical deterioration event mortality rates before PEWS implementation (IRR 1·32 [95% CI 1·22-1·43]; p&lt;0·0001), being a teaching hospital (1·18 [1·09-1·27]; p&lt;0·0001), not having a separate paediatric haematology-oncology unit (1·38 [1·21-1·57]; p&lt;0·0001), and having fewer PEWS omissions (0·95 [0·92-0·99]; p=0·0091) were associated with a greater reduction in clinical deterioration event mortality after PEWS implementation; no association was found with country income level (IRR 0·86 [95% CI 0·68-1·09]; p=0·22) or clinical deterioration event rates before PEWS implementation (1·04 [0·97-1·12]; p=0·29).</w:t>
      </w:r>
    </w:p>
    <w:p w14:paraId="5AF3919C" w14:textId="77777777" w:rsidR="00171755" w:rsidRPr="00DE7A12" w:rsidRDefault="00171755" w:rsidP="00DE7A12">
      <w:pPr>
        <w:pStyle w:val="NormalWeb"/>
        <w:shd w:val="clear" w:color="auto" w:fill="FFFFFF"/>
        <w:jc w:val="both"/>
        <w:rPr>
          <w:rFonts w:ascii="Arial" w:hAnsi="Arial" w:cs="Arial"/>
          <w:color w:val="212121"/>
          <w:sz w:val="18"/>
        </w:rPr>
      </w:pPr>
      <w:r w:rsidRPr="00DE7A12">
        <w:rPr>
          <w:rStyle w:val="Textoennegrita"/>
          <w:rFonts w:ascii="Arial" w:hAnsi="Arial" w:cs="Arial"/>
          <w:color w:val="212121"/>
          <w:sz w:val="18"/>
        </w:rPr>
        <w:t>Interpretation: </w:t>
      </w:r>
      <w:r w:rsidRPr="00DE7A12">
        <w:rPr>
          <w:rFonts w:ascii="Arial" w:hAnsi="Arial" w:cs="Arial"/>
          <w:color w:val="212121"/>
          <w:sz w:val="18"/>
        </w:rPr>
        <w:t>PEWS implementation was associated with reduced clinical deterioration event mortality in paediatric patients with cancer across 32 resource-limited hospitals in Latin America. These data support the use of PEWS as an effective evidence-based intervention to reduce disparities in global survival for children with cancer.</w:t>
      </w:r>
    </w:p>
    <w:p w14:paraId="4D2606D5" w14:textId="77777777" w:rsidR="00171755" w:rsidRPr="00DE7A12" w:rsidRDefault="00171755" w:rsidP="00DE7A12">
      <w:pPr>
        <w:pStyle w:val="NormalWeb"/>
        <w:shd w:val="clear" w:color="auto" w:fill="FFFFFF"/>
        <w:jc w:val="both"/>
        <w:rPr>
          <w:rFonts w:ascii="Arial" w:hAnsi="Arial" w:cs="Arial"/>
          <w:color w:val="212121"/>
          <w:sz w:val="18"/>
        </w:rPr>
      </w:pPr>
      <w:r w:rsidRPr="00DE7A12">
        <w:rPr>
          <w:rStyle w:val="Textoennegrita"/>
          <w:rFonts w:ascii="Arial" w:hAnsi="Arial" w:cs="Arial"/>
          <w:color w:val="212121"/>
          <w:sz w:val="18"/>
        </w:rPr>
        <w:t>Funding: </w:t>
      </w:r>
      <w:r w:rsidRPr="00DE7A12">
        <w:rPr>
          <w:rFonts w:ascii="Arial" w:hAnsi="Arial" w:cs="Arial"/>
          <w:color w:val="212121"/>
          <w:sz w:val="18"/>
        </w:rPr>
        <w:t>American Lebanese Syrian Associated Charities, US National Institutes of Health, and Conquer Cancer Foundation.</w:t>
      </w:r>
    </w:p>
    <w:p w14:paraId="46E0E834" w14:textId="77777777" w:rsidR="00171755" w:rsidRPr="00DE7A12" w:rsidRDefault="00171755" w:rsidP="00171755">
      <w:pPr>
        <w:pStyle w:val="NormalWeb"/>
        <w:shd w:val="clear" w:color="auto" w:fill="FFFFFF"/>
        <w:rPr>
          <w:rFonts w:ascii="Arial" w:hAnsi="Arial" w:cs="Arial"/>
          <w:color w:val="212121"/>
          <w:sz w:val="18"/>
        </w:rPr>
      </w:pPr>
      <w:r w:rsidRPr="00DE7A12">
        <w:rPr>
          <w:rStyle w:val="Textoennegrita"/>
          <w:rFonts w:ascii="Arial" w:hAnsi="Arial" w:cs="Arial"/>
          <w:color w:val="212121"/>
          <w:sz w:val="18"/>
        </w:rPr>
        <w:t>Translations: </w:t>
      </w:r>
      <w:r w:rsidRPr="00DE7A12">
        <w:rPr>
          <w:rFonts w:ascii="Arial" w:hAnsi="Arial" w:cs="Arial"/>
          <w:color w:val="212121"/>
          <w:sz w:val="18"/>
        </w:rPr>
        <w:t>For the Spanish and Portuguese translations of the abstract see Supplementary Materials section.</w:t>
      </w:r>
    </w:p>
    <w:p w14:paraId="2C95F216" w14:textId="2CECFF9D" w:rsidR="00171755" w:rsidRPr="00F75A36"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Ann Neurol</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3.</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10.1002/ana.26731.</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0F74FD2D"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Do Early Relapses Predict the Risk of Long-Term Relapsing Disease in an Adult and Paediatric Cohort with MOGAD?</w:t>
      </w:r>
    </w:p>
    <w:p w14:paraId="099E7D55" w14:textId="77777777" w:rsidR="00171755" w:rsidRPr="006978E3" w:rsidRDefault="00171755" w:rsidP="004E6380">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203AD6CF"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Objective: </w:t>
      </w:r>
      <w:r w:rsidRPr="006978E3">
        <w:rPr>
          <w:rFonts w:ascii="Arial" w:hAnsi="Arial" w:cs="Arial"/>
          <w:color w:val="212121"/>
        </w:rPr>
        <w:t>Myelin oligodendrocyte glycoprotein antibody-associated disease (MOGAD) can be monophasic or relapsing, with early relapse being a feature. However, the relevance of early relapse on longer-term relapse risk is unknown. Here, we investigate whether early relapses increase longer-term relapse risk in patients with MOGAD.</w:t>
      </w:r>
    </w:p>
    <w:p w14:paraId="0C4F8E22"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Methods: </w:t>
      </w:r>
      <w:r w:rsidRPr="006978E3">
        <w:rPr>
          <w:rFonts w:ascii="Arial" w:hAnsi="Arial" w:cs="Arial"/>
          <w:color w:val="212121"/>
        </w:rPr>
        <w:t>A retrospective analysis of 289 adult- and pediatric-onset patients with MOGAD followed for at least 2 years in 6 specialized referral centers. "Early relapses" were defined as attacks within the first 12 months from onset, with "very early relapses" defined within 30 to 90 days from onset and "delayed early relapses" defined within 90 to 365 days. "Long-term relapses" were defined as relapses beyond 12 months. Cox regression modeling and Kaplan-Meier survival analysis were used to estimate the long-term relapse risk and rate.</w:t>
      </w:r>
    </w:p>
    <w:p w14:paraId="630C540A"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Sixty-seven patients (23.2%) had early relapses with a median number of 1 event. Univariate analysis revealed an elevated risk for long-term relapses if any "early relapses" were present (hazard ratio [HR] = 2.11, p &lt; 0.001), whether occurring during the first 3 months (HR = 2.70, p &lt; 0.001) or the remaining 9 months (HR = 1.88, p = 0.001), with similar results yielded in the multivariate analysis. In children with onset below aged 12 years, only delayed early relapses were associated with an increased risk of long-term relapses (HR = 2.64, p = 0.026).</w:t>
      </w:r>
    </w:p>
    <w:p w14:paraId="6B00EB7B"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Interpretation: </w:t>
      </w:r>
      <w:r w:rsidRPr="006978E3">
        <w:rPr>
          <w:rFonts w:ascii="Arial" w:hAnsi="Arial" w:cs="Arial"/>
          <w:color w:val="212121"/>
        </w:rPr>
        <w:t>The presence of very early relapses and delayed early relapses within 12 months of onset in patients with MOGAD increases the risk of long-term relapsing disease, whereas a relapse within 90 days appears not to indicate a chronic inflammatory process in young pediatric-onset disease. ANN NEUROL 2023.</w:t>
      </w:r>
    </w:p>
    <w:p w14:paraId="1D56C473" w14:textId="77777777" w:rsidR="00171755" w:rsidRPr="006978E3" w:rsidRDefault="00171755" w:rsidP="00171755">
      <w:pPr>
        <w:rPr>
          <w:rFonts w:ascii="Arial" w:eastAsia="Times New Roman" w:hAnsi="Arial" w:cs="Arial"/>
          <w:sz w:val="20"/>
          <w:szCs w:val="20"/>
        </w:rPr>
      </w:pPr>
    </w:p>
    <w:p w14:paraId="1FB442DC" w14:textId="5AC3F1F7" w:rsidR="00171755" w:rsidRPr="00F75A36" w:rsidRDefault="00171755" w:rsidP="004E6380">
      <w:pPr>
        <w:jc w:val="both"/>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Lupus</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17;9612033231189804.</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10.1177/09612033231189804.</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6175C1DE" w14:textId="77777777" w:rsidR="00171755" w:rsidRPr="006978E3" w:rsidRDefault="00171755" w:rsidP="004E6380">
      <w:pPr>
        <w:pStyle w:val="Ttulo1"/>
        <w:jc w:val="both"/>
        <w:rPr>
          <w:rFonts w:ascii="Arial" w:eastAsia="Times New Roman" w:hAnsi="Arial" w:cs="Arial"/>
          <w:sz w:val="20"/>
          <w:szCs w:val="20"/>
        </w:rPr>
      </w:pPr>
      <w:r w:rsidRPr="006978E3">
        <w:rPr>
          <w:rFonts w:ascii="Arial" w:eastAsia="Times New Roman" w:hAnsi="Arial" w:cs="Arial"/>
          <w:sz w:val="20"/>
          <w:szCs w:val="20"/>
        </w:rPr>
        <w:t>BAFFR expression in circulating T follicular helper (CD4</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CXCR5</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PD-1</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 and T peripheral helper (CD4</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CXCR5</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PD-1</w:t>
      </w:r>
      <w:r w:rsidRPr="006978E3">
        <w:rPr>
          <w:rFonts w:ascii="Arial" w:eastAsia="Times New Roman" w:hAnsi="Arial" w:cs="Arial"/>
          <w:sz w:val="20"/>
          <w:szCs w:val="20"/>
          <w:vertAlign w:val="superscript"/>
        </w:rPr>
        <w:t>+</w:t>
      </w:r>
      <w:r w:rsidRPr="006978E3">
        <w:rPr>
          <w:rFonts w:ascii="Arial" w:eastAsia="Times New Roman" w:hAnsi="Arial" w:cs="Arial"/>
          <w:sz w:val="20"/>
          <w:szCs w:val="20"/>
        </w:rPr>
        <w:t>) cells in systemic lupus erythematosus</w:t>
      </w:r>
    </w:p>
    <w:p w14:paraId="32CA9A1B" w14:textId="77777777" w:rsidR="00171755" w:rsidRPr="006978E3" w:rsidRDefault="00171755" w:rsidP="004E6380">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2186BEEC"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Background: </w:t>
      </w:r>
      <w:r w:rsidRPr="006978E3">
        <w:rPr>
          <w:rFonts w:ascii="Arial" w:hAnsi="Arial" w:cs="Arial"/>
          <w:color w:val="212121"/>
        </w:rPr>
        <w:t>Circulating T follicular helper (cTfh) and T peripheral helper (Tph) subpopulations are shown to be higher in systemic lupus erythematosus (SLE) patients and have been involved in promoting extrafollicular B cell responses. However, a possible association with the B cell activating factor (BAFF), a cytokine mainly related to B cell responses and disease activity in SLE, has not been investigated. Therefore, this study aimed to evaluate the association of cTfh and Tph subpopulations with the BAFF system expression and clinical activity in SLE patients.</w:t>
      </w:r>
    </w:p>
    <w:p w14:paraId="495737A7"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Methods: </w:t>
      </w:r>
      <w:r w:rsidRPr="006978E3">
        <w:rPr>
          <w:rFonts w:ascii="Arial" w:hAnsi="Arial" w:cs="Arial"/>
          <w:color w:val="212121"/>
        </w:rPr>
        <w:t>This study included 43 SLE patients and 12 healthy subjects (HS). The identification of cTfh (CD4</w:t>
      </w:r>
      <w:r w:rsidRPr="006978E3">
        <w:rPr>
          <w:rFonts w:ascii="Arial" w:hAnsi="Arial" w:cs="Arial"/>
          <w:color w:val="212121"/>
          <w:vertAlign w:val="superscript"/>
        </w:rPr>
        <w:t>+</w:t>
      </w:r>
      <w:r w:rsidRPr="006978E3">
        <w:rPr>
          <w:rFonts w:ascii="Arial" w:hAnsi="Arial" w:cs="Arial"/>
          <w:color w:val="212121"/>
        </w:rPr>
        <w:t>CXCR5</w:t>
      </w:r>
      <w:r w:rsidRPr="006978E3">
        <w:rPr>
          <w:rFonts w:ascii="Arial" w:hAnsi="Arial" w:cs="Arial"/>
          <w:color w:val="212121"/>
          <w:vertAlign w:val="superscript"/>
        </w:rPr>
        <w:t>+</w:t>
      </w:r>
      <w:r w:rsidRPr="006978E3">
        <w:rPr>
          <w:rFonts w:ascii="Arial" w:hAnsi="Arial" w:cs="Arial"/>
          <w:color w:val="212121"/>
        </w:rPr>
        <w:t>PD-1</w:t>
      </w:r>
      <w:r w:rsidRPr="006978E3">
        <w:rPr>
          <w:rFonts w:ascii="Arial" w:hAnsi="Arial" w:cs="Arial"/>
          <w:color w:val="212121"/>
          <w:vertAlign w:val="superscript"/>
        </w:rPr>
        <w:t>+</w:t>
      </w:r>
      <w:r w:rsidRPr="006978E3">
        <w:rPr>
          <w:rFonts w:ascii="Arial" w:hAnsi="Arial" w:cs="Arial"/>
          <w:color w:val="212121"/>
        </w:rPr>
        <w:t>), Tph (CD4</w:t>
      </w:r>
      <w:r w:rsidRPr="006978E3">
        <w:rPr>
          <w:rFonts w:ascii="Arial" w:hAnsi="Arial" w:cs="Arial"/>
          <w:color w:val="212121"/>
          <w:vertAlign w:val="superscript"/>
        </w:rPr>
        <w:t>+</w:t>
      </w:r>
      <w:r w:rsidRPr="006978E3">
        <w:rPr>
          <w:rFonts w:ascii="Arial" w:hAnsi="Arial" w:cs="Arial"/>
          <w:color w:val="212121"/>
        </w:rPr>
        <w:t>CXCR5</w:t>
      </w:r>
      <w:r w:rsidRPr="006978E3">
        <w:rPr>
          <w:rFonts w:ascii="Arial" w:hAnsi="Arial" w:cs="Arial"/>
          <w:color w:val="212121"/>
          <w:vertAlign w:val="superscript"/>
        </w:rPr>
        <w:t>-</w:t>
      </w:r>
      <w:r w:rsidRPr="006978E3">
        <w:rPr>
          <w:rFonts w:ascii="Arial" w:hAnsi="Arial" w:cs="Arial"/>
          <w:color w:val="212121"/>
        </w:rPr>
        <w:t>PD-1</w:t>
      </w:r>
      <w:r w:rsidRPr="006978E3">
        <w:rPr>
          <w:rFonts w:ascii="Arial" w:hAnsi="Arial" w:cs="Arial"/>
          <w:color w:val="212121"/>
          <w:vertAlign w:val="superscript"/>
        </w:rPr>
        <w:t>+</w:t>
      </w:r>
      <w:r w:rsidRPr="006978E3">
        <w:rPr>
          <w:rFonts w:ascii="Arial" w:hAnsi="Arial" w:cs="Arial"/>
          <w:color w:val="212121"/>
        </w:rPr>
        <w:t>) cells, expression of membrane-bound BAFF (mBAFF), BAFFR, TACI, BCMA, and intracellular IL-21 was performed by flow cytometry. Serum levels of IL-21, CXCL13, and BAFF were analyzed using ELISA. The SLEDAI-2K score was used to evaluate disease activity in SLE patients.</w:t>
      </w:r>
    </w:p>
    <w:p w14:paraId="31FEEC4B"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Compared with HS, SLE patients showed a significantly increased percentage of cTfh and Tph cells, higher in patients with clearly active disease. SLE patients had markedly higher IL-21-producing cTfh and Tph cells than HS. Both subpopulations were positively correlated with the disease activity in SLE patients. Tph cells were negatively correlated with CD19</w:t>
      </w:r>
      <w:r w:rsidRPr="006978E3">
        <w:rPr>
          <w:rFonts w:ascii="Arial" w:hAnsi="Arial" w:cs="Arial"/>
          <w:color w:val="212121"/>
          <w:vertAlign w:val="superscript"/>
        </w:rPr>
        <w:t>+</w:t>
      </w:r>
      <w:r w:rsidRPr="006978E3">
        <w:rPr>
          <w:rFonts w:ascii="Arial" w:hAnsi="Arial" w:cs="Arial"/>
          <w:color w:val="212121"/>
        </w:rPr>
        <w:t>CXCR5</w:t>
      </w:r>
      <w:r w:rsidRPr="006978E3">
        <w:rPr>
          <w:rFonts w:ascii="Arial" w:hAnsi="Arial" w:cs="Arial"/>
          <w:color w:val="212121"/>
          <w:vertAlign w:val="superscript"/>
        </w:rPr>
        <w:t>+</w:t>
      </w:r>
      <w:r w:rsidRPr="006978E3">
        <w:rPr>
          <w:rFonts w:ascii="Arial" w:hAnsi="Arial" w:cs="Arial"/>
          <w:color w:val="212121"/>
        </w:rPr>
        <w:t> B cells and positively correlated with CD19</w:t>
      </w:r>
      <w:r w:rsidRPr="006978E3">
        <w:rPr>
          <w:rFonts w:ascii="Arial" w:hAnsi="Arial" w:cs="Arial"/>
          <w:color w:val="212121"/>
          <w:vertAlign w:val="superscript"/>
        </w:rPr>
        <w:t>+</w:t>
      </w:r>
      <w:r w:rsidRPr="006978E3">
        <w:rPr>
          <w:rFonts w:ascii="Arial" w:hAnsi="Arial" w:cs="Arial"/>
          <w:color w:val="212121"/>
        </w:rPr>
        <w:t>CXCR5</w:t>
      </w:r>
      <w:r w:rsidRPr="006978E3">
        <w:rPr>
          <w:rFonts w:ascii="Arial" w:hAnsi="Arial" w:cs="Arial"/>
          <w:color w:val="212121"/>
          <w:vertAlign w:val="superscript"/>
        </w:rPr>
        <w:t>-</w:t>
      </w:r>
      <w:r w:rsidRPr="006978E3">
        <w:rPr>
          <w:rFonts w:ascii="Arial" w:hAnsi="Arial" w:cs="Arial"/>
          <w:color w:val="212121"/>
        </w:rPr>
        <w:t> B cells. A low expression of mBAFF and their receptors TACI and BCMA was found on cTfh and Tph cells in SLE patients and HS. However, SLE patients with clearly active disease showed decreased expression of BAFFR on cTfh and Tph subpopulations than patients with mildly active/nonactive disease. Serum IL-21, CXCL13, and BAFF levels were higher in SLE patients than in HS. Levels of CXCL13 were correlated with disease activity. Non-significant correlations were observed among T cell subpopulations and IL-21, CXCL13, and BAFF levels.</w:t>
      </w:r>
    </w:p>
    <w:p w14:paraId="1BBBBEEF"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Conclusions: </w:t>
      </w:r>
      <w:r w:rsidRPr="006978E3">
        <w:rPr>
          <w:rFonts w:ascii="Arial" w:hAnsi="Arial" w:cs="Arial"/>
          <w:color w:val="212121"/>
        </w:rPr>
        <w:t>This study emphasizes the importance of cTfh and Tph cells in SLE pathogenesis. Besides the importance of IL-21, our results suggest that BAFFR could play a role in cTfh and Tph subpopulations in the autoimmunity context.</w:t>
      </w:r>
    </w:p>
    <w:p w14:paraId="0C988775"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BAFFR; IL-21; SLEDAI-2K; T peripheral helper (Tph) cells; circulating T follicular helper (cTfh) cells; systemic lupus erythematosus.</w:t>
      </w:r>
    </w:p>
    <w:p w14:paraId="480393E5" w14:textId="4B232AFC" w:rsidR="00171755" w:rsidRPr="00F75A36"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Clin Exp Immunol</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19;uxad076.</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10.1093/cei/uxad076.</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4C4D9DA5"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Aberrant B cell activation and B cell subpopulations in rheumatoid arthritis: analysis by clinical activity, autoantibody seropositivity, and treatment</w:t>
      </w:r>
    </w:p>
    <w:p w14:paraId="69C522F7" w14:textId="77777777" w:rsidR="00171755" w:rsidRPr="006978E3" w:rsidRDefault="00171755" w:rsidP="004E6380">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4ADB5325" w14:textId="77777777" w:rsidR="00171755" w:rsidRPr="006978E3" w:rsidRDefault="00171755" w:rsidP="004E6380">
      <w:pPr>
        <w:pStyle w:val="NormalWeb"/>
        <w:shd w:val="clear" w:color="auto" w:fill="FFFFFF"/>
        <w:jc w:val="both"/>
        <w:rPr>
          <w:rFonts w:ascii="Arial" w:hAnsi="Arial" w:cs="Arial"/>
          <w:color w:val="212121"/>
        </w:rPr>
      </w:pPr>
      <w:r w:rsidRPr="006978E3">
        <w:rPr>
          <w:rFonts w:ascii="Arial" w:hAnsi="Arial" w:cs="Arial"/>
          <w:color w:val="212121"/>
        </w:rPr>
        <w:t>Few studies analyze the role of B cells subpopulations in rheumatoid arthritis (RA) pathophysiology. Therefore, this study aimed to analyze the differences in B cell subpopulations and B cell activation according to disease activity, RA subtype, and absence of DMARDs therapy. These subgroups were compared with control subjects (CS). 139 subjects were included, of which 114 were RA patients and 25 were controls. Patients were divided into 99 with seropositive RA, six with seronegative RA, and nine without DMARDs. The patients with seropositive RA were subclassified based on the DAS28 index. A 7-color multicolor flow cytometry panel was used to identify B-cell immunophenotypes and cell activation markers. There were no changes in total B cells frequencies between RA patients and controls. However, a lower frequency of memory B cells and pre-plasmablasts was observed in seropositive RA compared to controls (p &lt;0.0001; p =0.0043, respectively). In contrast, a higher frequency of mature B cells was observed in RA than in controls (p =0.0002). Among patients with RA, those with moderate activity had a higher percentage of B cells (p =0.0021). The CD69 + marker was increased (p &lt;0.0001) in RA compared to controls, while the CD40 + frequency was decreased in patients (p &lt;0.0001). Transitional, naïve, and double-negative B cell subpopulations were higher in seronegative RA than in seropositive (p &lt;0.01). In conclusion, seropositive and seronegative RA patients, there are alterations in B cell activation and B cell subpopulations, independently of clinical activity and DMARDs therapy.</w:t>
      </w:r>
    </w:p>
    <w:p w14:paraId="2532E0E4" w14:textId="6757B21D" w:rsidR="00171755" w:rsidRPr="006978E3" w:rsidRDefault="00171755" w:rsidP="004E6380">
      <w:pPr>
        <w:pStyle w:val="NormalWeb"/>
        <w:shd w:val="clear" w:color="auto" w:fill="FFFFFF"/>
        <w:jc w:val="both"/>
        <w:rPr>
          <w:rFonts w:ascii="Arial" w:eastAsia="Times New Roman" w:hAnsi="Arial" w:cs="Arial"/>
        </w:rPr>
      </w:pPr>
      <w:r w:rsidRPr="006978E3">
        <w:rPr>
          <w:rStyle w:val="Textoennegrita"/>
          <w:rFonts w:ascii="Arial" w:hAnsi="Arial" w:cs="Arial"/>
          <w:color w:val="212121"/>
        </w:rPr>
        <w:t>Keywords: </w:t>
      </w:r>
      <w:r w:rsidRPr="006978E3">
        <w:rPr>
          <w:rFonts w:ascii="Arial" w:hAnsi="Arial" w:cs="Arial"/>
          <w:color w:val="212121"/>
        </w:rPr>
        <w:t>B-cell subpopulations; CD40; CD69; DAS-28; Rheumatoid Arthritis.</w:t>
      </w:r>
      <w:r w:rsidRPr="006978E3">
        <w:rPr>
          <w:rFonts w:ascii="Arial" w:hAnsi="Arial" w:cs="Arial"/>
          <w:color w:val="212121"/>
        </w:rPr>
        <w:br w:type="column"/>
      </w:r>
      <w:r w:rsidRPr="006978E3">
        <w:rPr>
          <w:rFonts w:ascii="Arial" w:eastAsia="Times New Roman" w:hAnsi="Arial" w:cs="Arial"/>
        </w:rPr>
        <w:lastRenderedPageBreak/>
        <w:t>Giant myxoid retroperitoneal liposarcoma in a 41-year-old patient: A case report</w:t>
      </w:r>
    </w:p>
    <w:p w14:paraId="58198A37" w14:textId="77777777" w:rsidR="00171755" w:rsidRPr="006978E3" w:rsidRDefault="00171755" w:rsidP="004E6380">
      <w:pPr>
        <w:spacing w:after="0"/>
        <w:jc w:val="both"/>
        <w:rPr>
          <w:rFonts w:ascii="Arial" w:eastAsia="Times New Roman" w:hAnsi="Arial" w:cs="Arial"/>
          <w:sz w:val="20"/>
          <w:szCs w:val="20"/>
        </w:rPr>
      </w:pPr>
      <w:r w:rsidRPr="006978E3">
        <w:rPr>
          <w:rStyle w:val="free-label"/>
          <w:rFonts w:ascii="Arial" w:eastAsia="Times New Roman" w:hAnsi="Arial" w:cs="Arial"/>
          <w:b/>
          <w:bCs/>
          <w:color w:val="C05600"/>
          <w:sz w:val="20"/>
          <w:szCs w:val="20"/>
        </w:rPr>
        <w:t>Free article</w:t>
      </w:r>
    </w:p>
    <w:p w14:paraId="66D84D4C" w14:textId="77777777" w:rsidR="00171755" w:rsidRPr="006978E3" w:rsidRDefault="00171755" w:rsidP="004E6380">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131A5D57"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Introduction: </w:t>
      </w:r>
      <w:r w:rsidRPr="006978E3">
        <w:rPr>
          <w:rFonts w:ascii="Arial" w:hAnsi="Arial" w:cs="Arial"/>
          <w:color w:val="212121"/>
        </w:rPr>
        <w:t>Retroperitoneal Liposarcomas (RL) are a rare form of malignant tumors, they encompass just 5 % ot these and mainly present in female adults between 50 and 60 years of age. They can be divided into 4 morphological subtypes: 1) well-differentiated, 2) undifferentiated, 3) myxoid, and 4) pleomorphic.</w:t>
      </w:r>
    </w:p>
    <w:p w14:paraId="757B8853"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Case presentation: </w:t>
      </w:r>
      <w:r w:rsidRPr="006978E3">
        <w:rPr>
          <w:rFonts w:ascii="Arial" w:hAnsi="Arial" w:cs="Arial"/>
          <w:color w:val="212121"/>
        </w:rPr>
        <w:t>41-year-old male who present to the outpatient consult of oncological surgery after being diagnosed via imaging with a giant retroperitoneal liposarcoma. The patient reported unsuccessful weight loss attempts and subsequently noticed an increase in abdominal size as well as the development of ulcers in the lower limbs. He underwent radical resection, which included a right nephrectomy, as the primary treatment.</w:t>
      </w:r>
    </w:p>
    <w:p w14:paraId="1F29E16C"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Discussion: </w:t>
      </w:r>
      <w:r w:rsidRPr="006978E3">
        <w:rPr>
          <w:rFonts w:ascii="Arial" w:hAnsi="Arial" w:cs="Arial"/>
          <w:color w:val="212121"/>
        </w:rPr>
        <w:t>Giant retroperitoneal liposarcomas are defined as those 30 cm in diameter or more or 20 kg or more in weight are considered "giants" and are extremely rare. The only treatment involves resection of the tumoration and those adjacent involved organs, and sometimes, uninvolved ones. Due to the high risk of recurrence, adjuvant therapy may be provided as well as imaging follow up.</w:t>
      </w:r>
    </w:p>
    <w:p w14:paraId="24B9BD16"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 </w:t>
      </w:r>
      <w:r w:rsidRPr="006978E3">
        <w:rPr>
          <w:rFonts w:ascii="Arial" w:hAnsi="Arial" w:cs="Arial"/>
          <w:color w:val="212121"/>
        </w:rPr>
        <w:t>RL are a complicated entity to manage. They tend to present high rates of recurrence due to the difficulty of performing a full resection without positive margins. These patients should be thoroughly studied before surgery and appropriate follow-up should be provided.</w:t>
      </w:r>
    </w:p>
    <w:p w14:paraId="0497A819"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Case report; Giant neoplasia; Liposarcoma; Retroperitoneum.</w:t>
      </w:r>
    </w:p>
    <w:p w14:paraId="16743B32" w14:textId="3FE9B9F1" w:rsidR="00171755" w:rsidRPr="00F75A36"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Medicina (Kaunas)</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21;59(7):1343.</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10.3390/medicina59071343.</w:t>
      </w:r>
    </w:p>
    <w:p w14:paraId="040FA6A3"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Comparison of Central Aortic Pressure between Women with Preeclampsia and Normotensive Postpartum Women from an Urban Region of Western Mexico</w:t>
      </w:r>
    </w:p>
    <w:p w14:paraId="0BDD0ACA" w14:textId="77777777" w:rsidR="00171755" w:rsidRPr="006978E3" w:rsidRDefault="00171755" w:rsidP="00171755">
      <w:pPr>
        <w:pStyle w:val="Ttulo2"/>
        <w:shd w:val="clear" w:color="auto" w:fill="FFFFFF"/>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39F3AABE" w14:textId="77777777" w:rsidR="00171755" w:rsidRPr="006978E3" w:rsidRDefault="00171755" w:rsidP="004E6380">
      <w:pPr>
        <w:pStyle w:val="NormalWeb"/>
        <w:shd w:val="clear" w:color="auto" w:fill="FFFFFF"/>
        <w:jc w:val="both"/>
        <w:rPr>
          <w:rFonts w:ascii="Arial" w:hAnsi="Arial" w:cs="Arial"/>
          <w:color w:val="212121"/>
        </w:rPr>
      </w:pPr>
      <w:r w:rsidRPr="006978E3">
        <w:rPr>
          <w:rFonts w:ascii="Arial" w:hAnsi="Arial" w:cs="Arial"/>
          <w:i/>
          <w:iCs/>
          <w:color w:val="212121"/>
        </w:rPr>
        <w:t>Background and Objectives</w:t>
      </w:r>
      <w:r w:rsidRPr="006978E3">
        <w:rPr>
          <w:rFonts w:ascii="Arial" w:hAnsi="Arial" w:cs="Arial"/>
          <w:color w:val="212121"/>
        </w:rPr>
        <w:t>: Central aortic pressure (CAP) can be measured through noninvasive methods, and CAP wave analysis can provide information about arterial stiffness. The objective of this study was to compare CAP in women with preeclampsia and normotensive postpartum women from an urban region in western Mexico. </w:t>
      </w:r>
      <w:r w:rsidRPr="006978E3">
        <w:rPr>
          <w:rFonts w:ascii="Arial" w:hAnsi="Arial" w:cs="Arial"/>
          <w:i/>
          <w:iCs/>
          <w:color w:val="212121"/>
        </w:rPr>
        <w:t>Materials and Methods:</w:t>
      </w:r>
      <w:r w:rsidRPr="006978E3">
        <w:rPr>
          <w:rFonts w:ascii="Arial" w:hAnsi="Arial" w:cs="Arial"/>
          <w:color w:val="212121"/>
        </w:rPr>
        <w:t> We recruited 78 women in immediate puerperium, including 39 with preeclampsia and 39 with normotension, who received delivery care in our hospital between September 2017 and January 2018. Pulse wave analysis was used to assess central hemodynamics as well as arterial stiffness with an oscillometric device. For this purpose, the measurement of the wave of the left radial artery was obtained with a wrist applanation tonometer and the ascending aortic pressure wave was generated using the accompanying software (V 1.1, Omron, Japan). Additionally, the systolic CAP, diastolic pressure, pulse pressure, heart rate, and rise rate adjusted for a heart rate of 75 bpm were determined. The radial pulse wave was calibrated using the diastolic and mean arterial pressures obtained from the left brachial artery. For all the statistical analyses, we considered </w:t>
      </w:r>
      <w:r w:rsidRPr="006978E3">
        <w:rPr>
          <w:rFonts w:ascii="Arial" w:hAnsi="Arial" w:cs="Arial"/>
          <w:i/>
          <w:iCs/>
          <w:color w:val="212121"/>
        </w:rPr>
        <w:t>p</w:t>
      </w:r>
      <w:r w:rsidRPr="006978E3">
        <w:rPr>
          <w:rFonts w:ascii="Arial" w:hAnsi="Arial" w:cs="Arial"/>
          <w:color w:val="212121"/>
        </w:rPr>
        <w:t> &lt; 0.05 to be significant. </w:t>
      </w:r>
      <w:r w:rsidRPr="006978E3">
        <w:rPr>
          <w:rFonts w:ascii="Arial" w:hAnsi="Arial" w:cs="Arial"/>
          <w:i/>
          <w:iCs/>
          <w:color w:val="212121"/>
        </w:rPr>
        <w:t>Results:</w:t>
      </w:r>
      <w:r w:rsidRPr="006978E3">
        <w:rPr>
          <w:rFonts w:ascii="Arial" w:hAnsi="Arial" w:cs="Arial"/>
          <w:color w:val="212121"/>
        </w:rPr>
        <w:t> The results were as follows: a systolic CAP of 125.40 (SD 15.46) vs. 112.10 (SD 10.12) with </w:t>
      </w:r>
      <w:r w:rsidRPr="006978E3">
        <w:rPr>
          <w:rFonts w:ascii="Arial" w:hAnsi="Arial" w:cs="Arial"/>
          <w:i/>
          <w:iCs/>
          <w:color w:val="212121"/>
        </w:rPr>
        <w:t>p</w:t>
      </w:r>
      <w:r w:rsidRPr="006978E3">
        <w:rPr>
          <w:rFonts w:ascii="Arial" w:hAnsi="Arial" w:cs="Arial"/>
          <w:color w:val="212121"/>
        </w:rPr>
        <w:t> &lt; 0.0001 for women with and without preeclampsia, respectively. Systolic CAP was significantly elevated in women with preeclampsia and could indicate an elevated risk of cardiovascular disease. </w:t>
      </w:r>
      <w:r w:rsidRPr="006978E3">
        <w:rPr>
          <w:rFonts w:ascii="Arial" w:hAnsi="Arial" w:cs="Arial"/>
          <w:i/>
          <w:iCs/>
          <w:color w:val="212121"/>
        </w:rPr>
        <w:t>Conclusion:</w:t>
      </w:r>
      <w:r w:rsidRPr="006978E3">
        <w:rPr>
          <w:rFonts w:ascii="Arial" w:hAnsi="Arial" w:cs="Arial"/>
          <w:color w:val="212121"/>
        </w:rPr>
        <w:t> CAP is an important parameter that can be measured in this group of patients and is significantly elevated in women with postpartum preeclampsia, even when the brachial blood pressure is normal.</w:t>
      </w:r>
    </w:p>
    <w:p w14:paraId="53EA202D"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Keywords: </w:t>
      </w:r>
      <w:r w:rsidRPr="006978E3">
        <w:rPr>
          <w:rFonts w:ascii="Arial" w:hAnsi="Arial" w:cs="Arial"/>
          <w:color w:val="212121"/>
        </w:rPr>
        <w:t>augmentation index; central aortic pressure; preeclampsia; pregnancy; puerperium.</w:t>
      </w:r>
    </w:p>
    <w:p w14:paraId="08F76332" w14:textId="279E3E2E" w:rsidR="00171755" w:rsidRPr="00F75A36" w:rsidRDefault="00171755" w:rsidP="00171755">
      <w:pPr>
        <w:rPr>
          <w:rFonts w:ascii="Arial" w:eastAsia="Times New Roman" w:hAnsi="Arial" w:cs="Arial"/>
          <w:color w:val="5B616B"/>
          <w:sz w:val="20"/>
          <w:szCs w:val="20"/>
        </w:rPr>
      </w:pPr>
      <w:r w:rsidRPr="006978E3">
        <w:rPr>
          <w:rFonts w:ascii="Arial" w:hAnsi="Arial" w:cs="Arial"/>
          <w:color w:val="212121"/>
          <w:sz w:val="20"/>
          <w:szCs w:val="20"/>
        </w:rPr>
        <w:br w:type="column"/>
      </w:r>
      <w:r w:rsidRPr="006978E3">
        <w:rPr>
          <w:rFonts w:ascii="Arial" w:eastAsia="Times New Roman" w:hAnsi="Arial" w:cs="Arial"/>
          <w:color w:val="5B616B"/>
          <w:sz w:val="20"/>
          <w:szCs w:val="20"/>
        </w:rPr>
        <w:lastRenderedPageBreak/>
        <w:t>Nutr Hosp</w:t>
      </w:r>
      <w:r w:rsidRPr="00F75A36">
        <w:rPr>
          <w:rStyle w:val="period"/>
          <w:rFonts w:ascii="Arial" w:eastAsia="Times New Roman" w:hAnsi="Arial" w:cs="Arial"/>
          <w:color w:val="0071BC"/>
          <w:sz w:val="20"/>
          <w:szCs w:val="20"/>
        </w:rPr>
        <w:t>. </w:t>
      </w:r>
      <w:r w:rsidRPr="00F75A36">
        <w:rPr>
          <w:rStyle w:val="cit"/>
          <w:rFonts w:ascii="Arial" w:eastAsia="Times New Roman" w:hAnsi="Arial" w:cs="Arial"/>
          <w:color w:val="5B616B"/>
          <w:sz w:val="20"/>
          <w:szCs w:val="20"/>
        </w:rPr>
        <w:t>2023 Jul 26.</w:t>
      </w:r>
      <w:r w:rsidRPr="006978E3">
        <w:rPr>
          <w:rFonts w:ascii="Arial" w:eastAsia="Times New Roman" w:hAnsi="Arial" w:cs="Arial"/>
          <w:sz w:val="20"/>
          <w:szCs w:val="20"/>
        </w:rPr>
        <w:t> </w:t>
      </w:r>
      <w:r w:rsidRPr="006978E3">
        <w:rPr>
          <w:rStyle w:val="citation-doi"/>
          <w:rFonts w:ascii="Arial" w:eastAsia="Times New Roman" w:hAnsi="Arial" w:cs="Arial"/>
          <w:color w:val="5B616B"/>
          <w:sz w:val="20"/>
          <w:szCs w:val="20"/>
        </w:rPr>
        <w:t>doi: 10.20960/nh.04477.</w:t>
      </w:r>
      <w:r w:rsidRPr="006978E3">
        <w:rPr>
          <w:rFonts w:ascii="Arial" w:eastAsia="Times New Roman" w:hAnsi="Arial" w:cs="Arial"/>
          <w:sz w:val="20"/>
          <w:szCs w:val="20"/>
        </w:rPr>
        <w:t> </w:t>
      </w:r>
      <w:r w:rsidRPr="006978E3">
        <w:rPr>
          <w:rStyle w:val="ahead-of-print"/>
          <w:rFonts w:ascii="Arial" w:eastAsia="Times New Roman" w:hAnsi="Arial" w:cs="Arial"/>
          <w:color w:val="5B616B"/>
          <w:sz w:val="20"/>
          <w:szCs w:val="20"/>
        </w:rPr>
        <w:t>Online ahead of print.</w:t>
      </w:r>
    </w:p>
    <w:p w14:paraId="15A525F2" w14:textId="77777777" w:rsidR="00171755" w:rsidRPr="006978E3" w:rsidRDefault="00171755" w:rsidP="00171755">
      <w:pPr>
        <w:pStyle w:val="Ttulo1"/>
        <w:rPr>
          <w:rFonts w:ascii="Arial" w:eastAsia="Times New Roman" w:hAnsi="Arial" w:cs="Arial"/>
          <w:sz w:val="20"/>
          <w:szCs w:val="20"/>
        </w:rPr>
      </w:pPr>
      <w:r w:rsidRPr="006978E3">
        <w:rPr>
          <w:rFonts w:ascii="Arial" w:eastAsia="Times New Roman" w:hAnsi="Arial" w:cs="Arial"/>
          <w:sz w:val="20"/>
          <w:szCs w:val="20"/>
        </w:rPr>
        <w:t>Relationship between lipid profile, anthropometric indicators, and appetite-regulating hormones in infants according to type of feeding</w:t>
      </w:r>
    </w:p>
    <w:p w14:paraId="29E61D4B" w14:textId="77777777" w:rsidR="00171755" w:rsidRPr="006978E3" w:rsidRDefault="00171755" w:rsidP="004E6380">
      <w:pPr>
        <w:pStyle w:val="Ttulo2"/>
        <w:shd w:val="clear" w:color="auto" w:fill="FFFFFF"/>
        <w:jc w:val="both"/>
        <w:rPr>
          <w:rFonts w:ascii="Arial" w:eastAsia="Times New Roman" w:hAnsi="Arial" w:cs="Arial"/>
          <w:color w:val="212121"/>
          <w:sz w:val="20"/>
          <w:szCs w:val="20"/>
        </w:rPr>
      </w:pPr>
      <w:r w:rsidRPr="006978E3">
        <w:rPr>
          <w:rFonts w:ascii="Arial" w:eastAsia="Times New Roman" w:hAnsi="Arial" w:cs="Arial"/>
          <w:color w:val="212121"/>
          <w:sz w:val="20"/>
          <w:szCs w:val="20"/>
        </w:rPr>
        <w:t>Abstract</w:t>
      </w:r>
    </w:p>
    <w:p w14:paraId="7BFEA22E"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Background: </w:t>
      </w:r>
      <w:r w:rsidRPr="006978E3">
        <w:rPr>
          <w:rFonts w:ascii="Arial" w:hAnsi="Arial" w:cs="Arial"/>
          <w:color w:val="212121"/>
        </w:rPr>
        <w:t>infants receiving full breastfeeding (FBF) regulate their appetites differently from those receiving human milk substitutes (HMS). In addition, early exposure to the dietary cholesterol in human milk could lead to better cholesterol regulation in later stages of life. Therefore, the purpose was to compare lipid profiles in 4-month-old infants and to correlate lipid profile with anthropometric indicators and appetite-regulating hormones according to the type of feeding.</w:t>
      </w:r>
    </w:p>
    <w:p w14:paraId="72A0BA0A"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Methods: </w:t>
      </w:r>
      <w:r w:rsidRPr="006978E3">
        <w:rPr>
          <w:rFonts w:ascii="Arial" w:hAnsi="Arial" w:cs="Arial"/>
          <w:color w:val="212121"/>
        </w:rPr>
        <w:t>this was a cross-sectional and correlational study, which included 145 mother-infant dyads according to the type of feeding; 64 received FBF, 47 partial breastfeeding (PBF), and 34 HMS. The complete lipid profile, total ghrelin, leptin, peptide YY, and glucagon-like peptide type 1 were measured. Z-scores for weight/age, length/age, weight/length, triceps (TSF) and subscapular folds (SSF) and body mass index for age were also obtained.</w:t>
      </w:r>
    </w:p>
    <w:p w14:paraId="1B0E113D"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Results: </w:t>
      </w:r>
      <w:r w:rsidRPr="006978E3">
        <w:rPr>
          <w:rFonts w:ascii="Arial" w:hAnsi="Arial" w:cs="Arial"/>
          <w:color w:val="212121"/>
        </w:rPr>
        <w:t>there were significant differences in triglycerides and LDL cholesterol according to the type of feeding. In the HMS group, an inverse relationship was observed between ghrelin and triglycerides (p = 0.038), ghrelin and total cholesterol (TC) (p = 0.026), and peptide YY and HDL cholesterol (p = 0.017). In the PBF group, a direct relationship was observed between length/age (z) and triglycerides (p = 0.001) and between subscapular folds and TC (p = 0.049). In infants receiving HMS, a direct correlation was observed between weight/age (z) and TC (p = 0.045) and between length/age (z) and LDL cholesterol (p = 0.010).</w:t>
      </w:r>
    </w:p>
    <w:p w14:paraId="05B81187" w14:textId="77777777" w:rsidR="00171755" w:rsidRPr="006978E3" w:rsidRDefault="00171755" w:rsidP="004E6380">
      <w:pPr>
        <w:pStyle w:val="NormalWeb"/>
        <w:shd w:val="clear" w:color="auto" w:fill="FFFFFF"/>
        <w:jc w:val="both"/>
        <w:rPr>
          <w:rFonts w:ascii="Arial" w:hAnsi="Arial" w:cs="Arial"/>
          <w:color w:val="212121"/>
        </w:rPr>
      </w:pPr>
      <w:r w:rsidRPr="006978E3">
        <w:rPr>
          <w:rStyle w:val="Textoennegrita"/>
          <w:rFonts w:ascii="Arial" w:hAnsi="Arial" w:cs="Arial"/>
          <w:color w:val="212121"/>
        </w:rPr>
        <w:t>Conclusion: </w:t>
      </w:r>
      <w:r w:rsidRPr="006978E3">
        <w:rPr>
          <w:rFonts w:ascii="Arial" w:hAnsi="Arial" w:cs="Arial"/>
          <w:color w:val="212121"/>
        </w:rPr>
        <w:t>these findings show a relationship between growth, energy reserve, lipid profile, and modulation of appetite-regulating hormones according to the type of feeding they received.</w:t>
      </w:r>
    </w:p>
    <w:p w14:paraId="01851CA6" w14:textId="77777777" w:rsidR="00171755" w:rsidRPr="006978E3" w:rsidRDefault="00171755" w:rsidP="00171755">
      <w:pPr>
        <w:shd w:val="clear" w:color="auto" w:fill="FFFFFF"/>
        <w:rPr>
          <w:rFonts w:ascii="Arial" w:eastAsia="Times New Roman" w:hAnsi="Arial" w:cs="Arial"/>
          <w:color w:val="212121"/>
          <w:sz w:val="20"/>
          <w:szCs w:val="20"/>
        </w:rPr>
      </w:pPr>
    </w:p>
    <w:p w14:paraId="64038DA9" w14:textId="3DDEEDEF" w:rsidR="00171755" w:rsidRPr="004E6380" w:rsidRDefault="00171755" w:rsidP="00F75A36">
      <w:pPr>
        <w:pStyle w:val="Ttulo1"/>
        <w:shd w:val="clear" w:color="auto" w:fill="FFFFFF"/>
        <w:spacing w:before="0" w:beforeAutospacing="0" w:after="300" w:afterAutospacing="0" w:line="360" w:lineRule="atLeast"/>
        <w:rPr>
          <w:rFonts w:ascii="Arial" w:eastAsia="Times New Roman" w:hAnsi="Arial" w:cs="Arial"/>
          <w:b w:val="0"/>
          <w:bCs w:val="0"/>
          <w:sz w:val="20"/>
          <w:szCs w:val="20"/>
        </w:rPr>
      </w:pPr>
      <w:r w:rsidRPr="006978E3">
        <w:rPr>
          <w:rFonts w:ascii="Arial" w:hAnsi="Arial" w:cs="Arial"/>
          <w:color w:val="212121"/>
          <w:sz w:val="20"/>
          <w:szCs w:val="20"/>
        </w:rPr>
        <w:br w:type="column"/>
      </w:r>
      <w:r w:rsidRPr="004E6380">
        <w:rPr>
          <w:rFonts w:ascii="Arial" w:eastAsia="Times New Roman" w:hAnsi="Arial" w:cs="Arial"/>
          <w:b w:val="0"/>
          <w:bCs w:val="0"/>
          <w:sz w:val="20"/>
          <w:szCs w:val="20"/>
        </w:rPr>
        <w:lastRenderedPageBreak/>
        <w:t>2023, Número 1</w:t>
      </w:r>
      <w:r w:rsidR="00F75A36" w:rsidRPr="004E6380">
        <w:rPr>
          <w:rFonts w:ascii="Arial" w:eastAsia="Times New Roman" w:hAnsi="Arial" w:cs="Arial"/>
          <w:b w:val="0"/>
          <w:bCs w:val="0"/>
          <w:sz w:val="20"/>
          <w:szCs w:val="20"/>
        </w:rPr>
        <w:t xml:space="preserve"> </w:t>
      </w:r>
      <w:r w:rsidRPr="004E6380">
        <w:rPr>
          <w:rFonts w:ascii="Arial" w:eastAsia="Times New Roman" w:hAnsi="Arial" w:cs="Arial"/>
          <w:sz w:val="20"/>
          <w:szCs w:val="20"/>
        </w:rPr>
        <w:t>Sal Jal 2023; 10 (1)</w:t>
      </w:r>
    </w:p>
    <w:p w14:paraId="7C56B406" w14:textId="2F4DD6BC" w:rsidR="00171755" w:rsidRPr="004E6380" w:rsidRDefault="00171755" w:rsidP="00F75A36">
      <w:pPr>
        <w:rPr>
          <w:rFonts w:ascii="Arial" w:eastAsia="Times New Roman" w:hAnsi="Arial" w:cs="Arial"/>
          <w:sz w:val="20"/>
          <w:szCs w:val="20"/>
        </w:rPr>
      </w:pPr>
      <w:r w:rsidRPr="004E6380">
        <w:rPr>
          <w:rStyle w:val="Textoennegrita"/>
          <w:rFonts w:ascii="Arial" w:eastAsia="Times New Roman" w:hAnsi="Arial" w:cs="Arial"/>
          <w:b w:val="0"/>
          <w:bCs w:val="0"/>
          <w:sz w:val="20"/>
          <w:szCs w:val="20"/>
          <w:bdr w:val="none" w:sz="0" w:space="0" w:color="auto" w:frame="1"/>
        </w:rPr>
        <w:t>Diagnóstico situacional por COVID-19 e impacto en la salud de los médicos del Antiguo Hospital Civil de Guadalajara (AHCGFAA)</w:t>
      </w:r>
      <w:r w:rsidRPr="004E6380">
        <w:rPr>
          <w:rFonts w:ascii="Arial" w:eastAsia="Times New Roman" w:hAnsi="Arial" w:cs="Arial"/>
          <w:b/>
          <w:bCs/>
          <w:sz w:val="20"/>
          <w:szCs w:val="20"/>
        </w:rPr>
        <w:t> </w:t>
      </w:r>
    </w:p>
    <w:p w14:paraId="025878F8" w14:textId="5833BE84" w:rsidR="00171755" w:rsidRPr="004E6380" w:rsidRDefault="00171755" w:rsidP="00F75A36">
      <w:pPr>
        <w:pStyle w:val="fnt10grs"/>
        <w:shd w:val="clear" w:color="auto" w:fill="FFFFFF"/>
        <w:spacing w:before="0" w:beforeAutospacing="0" w:after="300" w:afterAutospacing="0" w:line="300" w:lineRule="atLeast"/>
        <w:rPr>
          <w:rFonts w:ascii="Arial" w:hAnsi="Arial" w:cs="Arial"/>
        </w:rPr>
      </w:pPr>
      <w:r w:rsidRPr="004E6380">
        <w:rPr>
          <w:rFonts w:ascii="Arial" w:hAnsi="Arial" w:cs="Arial"/>
        </w:rPr>
        <w:t>Idioma: Español</w:t>
      </w:r>
      <w:r w:rsidRPr="004E6380">
        <w:rPr>
          <w:rFonts w:ascii="Arial" w:hAnsi="Arial" w:cs="Arial"/>
        </w:rPr>
        <w:br/>
        <w:t>Referencias bibliográficas: 10</w:t>
      </w:r>
      <w:r w:rsidRPr="004E6380">
        <w:rPr>
          <w:rFonts w:ascii="Arial" w:hAnsi="Arial" w:cs="Arial"/>
        </w:rPr>
        <w:br/>
        <w:t>Paginas: 15-21</w:t>
      </w:r>
      <w:r w:rsidRPr="004E6380">
        <w:rPr>
          <w:rFonts w:ascii="Arial" w:hAnsi="Arial" w:cs="Arial"/>
        </w:rPr>
        <w:br/>
        <w:t>Archivo PDF: 234.73 Kb.</w:t>
      </w:r>
    </w:p>
    <w:p w14:paraId="172576B2" w14:textId="77777777" w:rsidR="00171755" w:rsidRPr="004E6380" w:rsidRDefault="00171755" w:rsidP="00171755">
      <w:pPr>
        <w:pStyle w:val="NormalWeb"/>
        <w:shd w:val="clear" w:color="auto" w:fill="FFFFFF"/>
        <w:spacing w:before="0" w:beforeAutospacing="0" w:after="0" w:afterAutospacing="0" w:line="300" w:lineRule="atLeast"/>
        <w:rPr>
          <w:rFonts w:ascii="Arial" w:hAnsi="Arial" w:cs="Arial"/>
        </w:rPr>
      </w:pPr>
      <w:r w:rsidRPr="004E6380">
        <w:rPr>
          <w:rStyle w:val="Textoennegrita"/>
          <w:rFonts w:ascii="Arial" w:hAnsi="Arial" w:cs="Arial"/>
          <w:bdr w:val="none" w:sz="0" w:space="0" w:color="auto" w:frame="1"/>
        </w:rPr>
        <w:t>PALABRAS CLAVE</w:t>
      </w:r>
    </w:p>
    <w:p w14:paraId="134751C7" w14:textId="77777777" w:rsidR="00171755" w:rsidRPr="004E6380" w:rsidRDefault="00171755" w:rsidP="00171755">
      <w:pPr>
        <w:shd w:val="clear" w:color="auto" w:fill="FFFFFF"/>
        <w:rPr>
          <w:rFonts w:ascii="Arial" w:eastAsia="Times New Roman" w:hAnsi="Arial" w:cs="Arial"/>
          <w:sz w:val="20"/>
          <w:szCs w:val="20"/>
        </w:rPr>
      </w:pPr>
      <w:r w:rsidRPr="004E6380">
        <w:rPr>
          <w:rFonts w:ascii="Arial" w:eastAsia="Times New Roman" w:hAnsi="Arial" w:cs="Arial"/>
          <w:sz w:val="20"/>
          <w:szCs w:val="20"/>
        </w:rPr>
        <w:t>hospital civil, COVID-19, diagnóstico situacional, encuesta COVID-19.</w:t>
      </w:r>
    </w:p>
    <w:p w14:paraId="3218F1DF" w14:textId="77777777" w:rsidR="00171755" w:rsidRPr="004E6380" w:rsidRDefault="00171755" w:rsidP="00171755">
      <w:pPr>
        <w:pStyle w:val="NormalWeb"/>
        <w:shd w:val="clear" w:color="auto" w:fill="FFFFFF"/>
        <w:spacing w:before="0" w:beforeAutospacing="0" w:after="0" w:afterAutospacing="0" w:line="300" w:lineRule="atLeast"/>
        <w:rPr>
          <w:rFonts w:ascii="Arial" w:hAnsi="Arial" w:cs="Arial"/>
        </w:rPr>
      </w:pPr>
      <w:r w:rsidRPr="004E6380">
        <w:rPr>
          <w:rStyle w:val="Textoennegrita"/>
          <w:rFonts w:ascii="Arial" w:hAnsi="Arial" w:cs="Arial"/>
          <w:bdr w:val="none" w:sz="0" w:space="0" w:color="auto" w:frame="1"/>
        </w:rPr>
        <w:t>RESUMEN</w:t>
      </w:r>
      <w:bookmarkStart w:id="0" w:name="_GoBack"/>
      <w:bookmarkEnd w:id="0"/>
    </w:p>
    <w:p w14:paraId="0203C2CB" w14:textId="77777777" w:rsidR="00171755" w:rsidRPr="004E6380" w:rsidRDefault="00171755" w:rsidP="00171755">
      <w:pPr>
        <w:shd w:val="clear" w:color="auto" w:fill="FFFFFF"/>
        <w:rPr>
          <w:rFonts w:ascii="Arial" w:eastAsia="Times New Roman" w:hAnsi="Arial" w:cs="Arial"/>
          <w:sz w:val="20"/>
          <w:szCs w:val="20"/>
        </w:rPr>
      </w:pPr>
      <w:r w:rsidRPr="004E6380">
        <w:rPr>
          <w:rFonts w:ascii="Arial" w:eastAsia="Times New Roman" w:hAnsi="Arial" w:cs="Arial"/>
          <w:sz w:val="20"/>
          <w:szCs w:val="20"/>
        </w:rPr>
        <w:t>La pandemia por COVID-19 y las características de la contingencia, han tenido un impacto social importante, han significado cambios en la vida cotidiana de toda la población, incluyendo a la comunidad hospitalaria. Este análisis tiene como objetivo conocer los efectos en la salud y la conducta de la comunidad médica del Antiguo Hospital Civil de Guadalajara "Fray Antonio Alcalde" durante la pandemia. Conocer los efectos que causa el virus SARS-CoV-2 en el organismo durante la enfermedad, incluyendo las secuelas físicas, psicoemocionales y la conducta laboral después de padecerla, así como conocer los efectos de la aplicación de la vacuna. Se realizó una encuesta de 55 preguntas en la plataforma de Formularios Google, se obtuvieron 82 respuestas correspondientes a 18%, como muestra de un universo de 460 médicos. Se aplicaron preguntas distribuidas en cinco bloques: 1) información general, 2) estado físico y de salud, 3) datos clínicos, 4) vacunas y 5) esfera psicosocial.</w:t>
      </w:r>
    </w:p>
    <w:p w14:paraId="6554A3DC" w14:textId="77777777" w:rsidR="00171755" w:rsidRPr="006978E3" w:rsidRDefault="00171755" w:rsidP="00171755">
      <w:pPr>
        <w:pStyle w:val="NormalWeb"/>
        <w:shd w:val="clear" w:color="auto" w:fill="FFFFFF"/>
        <w:tabs>
          <w:tab w:val="left" w:pos="1169"/>
        </w:tabs>
        <w:rPr>
          <w:rFonts w:ascii="Arial" w:hAnsi="Arial" w:cs="Arial"/>
          <w:color w:val="212121"/>
        </w:rPr>
      </w:pPr>
    </w:p>
    <w:p w14:paraId="7B1F1F03" w14:textId="77777777" w:rsidR="00171755" w:rsidRPr="006978E3" w:rsidRDefault="00171755" w:rsidP="00171755">
      <w:pPr>
        <w:pStyle w:val="NormalWeb"/>
        <w:jc w:val="both"/>
        <w:rPr>
          <w:rFonts w:ascii="Arial" w:hAnsi="Arial" w:cs="Arial"/>
          <w:color w:val="212121"/>
        </w:rPr>
      </w:pPr>
    </w:p>
    <w:p w14:paraId="73F5C31A" w14:textId="77777777" w:rsidR="00171755" w:rsidRPr="006978E3" w:rsidRDefault="00171755" w:rsidP="00171755">
      <w:pPr>
        <w:pStyle w:val="NormalWeb"/>
        <w:shd w:val="clear" w:color="auto" w:fill="FFFFFF"/>
        <w:jc w:val="both"/>
        <w:rPr>
          <w:rFonts w:ascii="Arial" w:hAnsi="Arial" w:cs="Arial"/>
          <w:color w:val="212121"/>
        </w:rPr>
      </w:pPr>
    </w:p>
    <w:p w14:paraId="0F0DFC2C" w14:textId="5C15A9CD" w:rsidR="00017BA8" w:rsidRPr="00171755" w:rsidRDefault="00017BA8" w:rsidP="00171755"/>
    <w:sectPr w:rsidR="00017BA8" w:rsidRPr="00171755" w:rsidSect="001F2A16">
      <w:headerReference w:type="even" r:id="rId7"/>
      <w:headerReference w:type="default"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379ED" w14:textId="77777777" w:rsidR="00244BC5" w:rsidRDefault="00244BC5" w:rsidP="00F977B3">
      <w:pPr>
        <w:spacing w:after="0" w:line="240" w:lineRule="auto"/>
      </w:pPr>
      <w:r>
        <w:separator/>
      </w:r>
    </w:p>
  </w:endnote>
  <w:endnote w:type="continuationSeparator" w:id="0">
    <w:p w14:paraId="51E42842" w14:textId="77777777" w:rsidR="00244BC5" w:rsidRDefault="00244BC5"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DE7A12" w:rsidRDefault="00DE7A12">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6F49D" w14:textId="77777777" w:rsidR="00244BC5" w:rsidRDefault="00244BC5" w:rsidP="00F977B3">
      <w:pPr>
        <w:spacing w:after="0" w:line="240" w:lineRule="auto"/>
      </w:pPr>
      <w:r>
        <w:separator/>
      </w:r>
    </w:p>
  </w:footnote>
  <w:footnote w:type="continuationSeparator" w:id="0">
    <w:p w14:paraId="52CF7AAF" w14:textId="77777777" w:rsidR="00244BC5" w:rsidRDefault="00244BC5"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DE7A12" w:rsidRDefault="00DE7A12">
    <w:pPr>
      <w:pStyle w:val="Encabezado"/>
    </w:pPr>
    <w:sdt>
      <w:sdtPr>
        <w:id w:val="171999623"/>
        <w:placeholder>
          <w:docPart w:val="2633221B11E4B741B6836EAA5AC09AFD"/>
        </w:placeholder>
        <w:temporary/>
        <w:showingPlcHdr/>
      </w:sdtPr>
      <w:sdtContent>
        <w:r>
          <w:t>[Escriba texto]</w:t>
        </w:r>
      </w:sdtContent>
    </w:sdt>
    <w:r>
      <w:ptab w:relativeTo="margin" w:alignment="center" w:leader="none"/>
    </w:r>
    <w:sdt>
      <w:sdtPr>
        <w:id w:val="171999624"/>
        <w:placeholder>
          <w:docPart w:val="DCCB90A6E3C8044C9EF5243A31D90017"/>
        </w:placeholder>
        <w:temporary/>
        <w:showingPlcHdr/>
      </w:sdtPr>
      <w:sdtContent>
        <w:r>
          <w:t>[Escriba texto]</w:t>
        </w:r>
      </w:sdtContent>
    </w:sdt>
    <w:r>
      <w:ptab w:relativeTo="margin" w:alignment="right" w:leader="none"/>
    </w:r>
    <w:sdt>
      <w:sdtPr>
        <w:id w:val="171999625"/>
        <w:placeholder>
          <w:docPart w:val="AF1DC4D04B87C740A3CD4B160ADBC2A3"/>
        </w:placeholder>
        <w:temporary/>
        <w:showingPlcHdr/>
      </w:sdtPr>
      <w:sdtContent>
        <w:r>
          <w:t>[Escriba texto]</w:t>
        </w:r>
      </w:sdtContent>
    </w:sdt>
  </w:p>
  <w:p w14:paraId="5727748C" w14:textId="77777777" w:rsidR="00DE7A12" w:rsidRDefault="00DE7A1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DE7A12" w:rsidRDefault="00DE7A12">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645"/>
    <w:multiLevelType w:val="multilevel"/>
    <w:tmpl w:val="10C4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37D7E"/>
    <w:multiLevelType w:val="multilevel"/>
    <w:tmpl w:val="5D00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2062C"/>
    <w:multiLevelType w:val="multilevel"/>
    <w:tmpl w:val="D142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220CA"/>
    <w:multiLevelType w:val="multilevel"/>
    <w:tmpl w:val="5704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07478"/>
    <w:multiLevelType w:val="multilevel"/>
    <w:tmpl w:val="00BE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C77ED"/>
    <w:multiLevelType w:val="multilevel"/>
    <w:tmpl w:val="2B04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6122D"/>
    <w:multiLevelType w:val="multilevel"/>
    <w:tmpl w:val="1834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64604"/>
    <w:multiLevelType w:val="multilevel"/>
    <w:tmpl w:val="9042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176A6"/>
    <w:multiLevelType w:val="multilevel"/>
    <w:tmpl w:val="FA08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81E20"/>
    <w:multiLevelType w:val="multilevel"/>
    <w:tmpl w:val="D6C0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AE49A8"/>
    <w:multiLevelType w:val="multilevel"/>
    <w:tmpl w:val="E4C8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A284B"/>
    <w:multiLevelType w:val="multilevel"/>
    <w:tmpl w:val="0FEC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4C4F62"/>
    <w:multiLevelType w:val="multilevel"/>
    <w:tmpl w:val="515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05BAC"/>
    <w:multiLevelType w:val="multilevel"/>
    <w:tmpl w:val="20D0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F2C80"/>
    <w:multiLevelType w:val="multilevel"/>
    <w:tmpl w:val="E958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E77E7"/>
    <w:multiLevelType w:val="multilevel"/>
    <w:tmpl w:val="7B12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F6B37"/>
    <w:multiLevelType w:val="multilevel"/>
    <w:tmpl w:val="B13C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177FC"/>
    <w:multiLevelType w:val="multilevel"/>
    <w:tmpl w:val="BA0A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F52F2"/>
    <w:multiLevelType w:val="multilevel"/>
    <w:tmpl w:val="B46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0E5579"/>
    <w:multiLevelType w:val="multilevel"/>
    <w:tmpl w:val="9BAA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85950"/>
    <w:multiLevelType w:val="multilevel"/>
    <w:tmpl w:val="485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DD434D"/>
    <w:multiLevelType w:val="multilevel"/>
    <w:tmpl w:val="226C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61EB8"/>
    <w:multiLevelType w:val="multilevel"/>
    <w:tmpl w:val="4A32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7F5EA1"/>
    <w:multiLevelType w:val="multilevel"/>
    <w:tmpl w:val="2E3A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A84188"/>
    <w:multiLevelType w:val="multilevel"/>
    <w:tmpl w:val="902E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D4FC2"/>
    <w:multiLevelType w:val="multilevel"/>
    <w:tmpl w:val="26C2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061B0"/>
    <w:multiLevelType w:val="multilevel"/>
    <w:tmpl w:val="EE2C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B560C"/>
    <w:multiLevelType w:val="multilevel"/>
    <w:tmpl w:val="A65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3"/>
  </w:num>
  <w:num w:numId="3">
    <w:abstractNumId w:val="11"/>
  </w:num>
  <w:num w:numId="4">
    <w:abstractNumId w:val="1"/>
  </w:num>
  <w:num w:numId="5">
    <w:abstractNumId w:val="26"/>
  </w:num>
  <w:num w:numId="6">
    <w:abstractNumId w:val="0"/>
  </w:num>
  <w:num w:numId="7">
    <w:abstractNumId w:val="23"/>
  </w:num>
  <w:num w:numId="8">
    <w:abstractNumId w:val="16"/>
  </w:num>
  <w:num w:numId="9">
    <w:abstractNumId w:val="15"/>
  </w:num>
  <w:num w:numId="10">
    <w:abstractNumId w:val="6"/>
  </w:num>
  <w:num w:numId="11">
    <w:abstractNumId w:val="8"/>
  </w:num>
  <w:num w:numId="12">
    <w:abstractNumId w:val="20"/>
  </w:num>
  <w:num w:numId="13">
    <w:abstractNumId w:val="9"/>
  </w:num>
  <w:num w:numId="14">
    <w:abstractNumId w:val="7"/>
  </w:num>
  <w:num w:numId="15">
    <w:abstractNumId w:val="5"/>
  </w:num>
  <w:num w:numId="16">
    <w:abstractNumId w:val="4"/>
  </w:num>
  <w:num w:numId="17">
    <w:abstractNumId w:val="2"/>
  </w:num>
  <w:num w:numId="18">
    <w:abstractNumId w:val="12"/>
  </w:num>
  <w:num w:numId="19">
    <w:abstractNumId w:val="24"/>
  </w:num>
  <w:num w:numId="20">
    <w:abstractNumId w:val="10"/>
  </w:num>
  <w:num w:numId="21">
    <w:abstractNumId w:val="17"/>
  </w:num>
  <w:num w:numId="22">
    <w:abstractNumId w:val="21"/>
  </w:num>
  <w:num w:numId="23">
    <w:abstractNumId w:val="27"/>
  </w:num>
  <w:num w:numId="24">
    <w:abstractNumId w:val="14"/>
  </w:num>
  <w:num w:numId="25">
    <w:abstractNumId w:val="19"/>
  </w:num>
  <w:num w:numId="26">
    <w:abstractNumId w:val="3"/>
  </w:num>
  <w:num w:numId="27">
    <w:abstractNumId w:val="25"/>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E069F"/>
    <w:rsid w:val="000F4FD3"/>
    <w:rsid w:val="00101BB2"/>
    <w:rsid w:val="00114917"/>
    <w:rsid w:val="00126C4D"/>
    <w:rsid w:val="00132D05"/>
    <w:rsid w:val="00171755"/>
    <w:rsid w:val="001A117C"/>
    <w:rsid w:val="001B4FD4"/>
    <w:rsid w:val="001F2A16"/>
    <w:rsid w:val="001F7C52"/>
    <w:rsid w:val="00200E4A"/>
    <w:rsid w:val="00210459"/>
    <w:rsid w:val="00244BC5"/>
    <w:rsid w:val="00265A6C"/>
    <w:rsid w:val="00283DBB"/>
    <w:rsid w:val="00290860"/>
    <w:rsid w:val="002E6E60"/>
    <w:rsid w:val="00350D1F"/>
    <w:rsid w:val="0035469A"/>
    <w:rsid w:val="00360283"/>
    <w:rsid w:val="003776F7"/>
    <w:rsid w:val="00385543"/>
    <w:rsid w:val="00386444"/>
    <w:rsid w:val="00395363"/>
    <w:rsid w:val="00397AB1"/>
    <w:rsid w:val="003B345D"/>
    <w:rsid w:val="003E510F"/>
    <w:rsid w:val="004037E2"/>
    <w:rsid w:val="00416B0E"/>
    <w:rsid w:val="0042501C"/>
    <w:rsid w:val="00437C13"/>
    <w:rsid w:val="00457959"/>
    <w:rsid w:val="00471834"/>
    <w:rsid w:val="004874AE"/>
    <w:rsid w:val="004C138C"/>
    <w:rsid w:val="004E6380"/>
    <w:rsid w:val="004F3DA0"/>
    <w:rsid w:val="005052A4"/>
    <w:rsid w:val="00510AED"/>
    <w:rsid w:val="005322D0"/>
    <w:rsid w:val="00533FA8"/>
    <w:rsid w:val="00544742"/>
    <w:rsid w:val="00574219"/>
    <w:rsid w:val="00594E53"/>
    <w:rsid w:val="00612C60"/>
    <w:rsid w:val="00616645"/>
    <w:rsid w:val="006214BB"/>
    <w:rsid w:val="006273CC"/>
    <w:rsid w:val="006612BD"/>
    <w:rsid w:val="006802E2"/>
    <w:rsid w:val="006978E3"/>
    <w:rsid w:val="006B0AC8"/>
    <w:rsid w:val="00712600"/>
    <w:rsid w:val="00735ADA"/>
    <w:rsid w:val="007465FD"/>
    <w:rsid w:val="00750481"/>
    <w:rsid w:val="00777C71"/>
    <w:rsid w:val="007820EB"/>
    <w:rsid w:val="007F0D6B"/>
    <w:rsid w:val="007F5491"/>
    <w:rsid w:val="00821C17"/>
    <w:rsid w:val="0085224C"/>
    <w:rsid w:val="008523CE"/>
    <w:rsid w:val="00852552"/>
    <w:rsid w:val="00870E56"/>
    <w:rsid w:val="0088717E"/>
    <w:rsid w:val="008F1BAA"/>
    <w:rsid w:val="00924B2B"/>
    <w:rsid w:val="00984691"/>
    <w:rsid w:val="009B1A42"/>
    <w:rsid w:val="009C4712"/>
    <w:rsid w:val="009E1FE5"/>
    <w:rsid w:val="009F7D88"/>
    <w:rsid w:val="00A331C0"/>
    <w:rsid w:val="00A550DE"/>
    <w:rsid w:val="00A772D4"/>
    <w:rsid w:val="00A80864"/>
    <w:rsid w:val="00A8677F"/>
    <w:rsid w:val="00A878BF"/>
    <w:rsid w:val="00A95672"/>
    <w:rsid w:val="00AA34AB"/>
    <w:rsid w:val="00AB28C8"/>
    <w:rsid w:val="00B25F15"/>
    <w:rsid w:val="00B7182D"/>
    <w:rsid w:val="00BD6172"/>
    <w:rsid w:val="00C01D76"/>
    <w:rsid w:val="00C10FE8"/>
    <w:rsid w:val="00C579EF"/>
    <w:rsid w:val="00C61588"/>
    <w:rsid w:val="00C66BE4"/>
    <w:rsid w:val="00C77F53"/>
    <w:rsid w:val="00C864E8"/>
    <w:rsid w:val="00C870BE"/>
    <w:rsid w:val="00CA0084"/>
    <w:rsid w:val="00CA123C"/>
    <w:rsid w:val="00CD16F5"/>
    <w:rsid w:val="00CD2C9C"/>
    <w:rsid w:val="00D1287E"/>
    <w:rsid w:val="00D12E93"/>
    <w:rsid w:val="00D53D6A"/>
    <w:rsid w:val="00D73D33"/>
    <w:rsid w:val="00DA05C1"/>
    <w:rsid w:val="00DB0BC5"/>
    <w:rsid w:val="00DE661B"/>
    <w:rsid w:val="00DE7A12"/>
    <w:rsid w:val="00DF6AA9"/>
    <w:rsid w:val="00E31E8A"/>
    <w:rsid w:val="00E542EF"/>
    <w:rsid w:val="00E73A7F"/>
    <w:rsid w:val="00E82525"/>
    <w:rsid w:val="00E86341"/>
    <w:rsid w:val="00EA162C"/>
    <w:rsid w:val="00EA25FF"/>
    <w:rsid w:val="00EB6406"/>
    <w:rsid w:val="00EE6E14"/>
    <w:rsid w:val="00F27373"/>
    <w:rsid w:val="00F32661"/>
    <w:rsid w:val="00F64DBB"/>
    <w:rsid w:val="00F67E9B"/>
    <w:rsid w:val="00F75A36"/>
    <w:rsid w:val="00F83A61"/>
    <w:rsid w:val="00F90ECE"/>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350F8F0E-D372-4884-8157-DC7EB90F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0">
    <w:name w:val="Título1"/>
    <w:basedOn w:val="Fuentedeprrafopredeter"/>
    <w:rsid w:val="00AB28C8"/>
  </w:style>
  <w:style w:type="character" w:customStyle="1" w:styleId="embargo-date-block">
    <w:name w:val="embargo-date-block"/>
    <w:basedOn w:val="Fuentedeprrafopredeter"/>
    <w:rsid w:val="00CD2C9C"/>
  </w:style>
  <w:style w:type="paragraph" w:customStyle="1" w:styleId="fnt10grs">
    <w:name w:val="fnt10grs"/>
    <w:basedOn w:val="Normal"/>
    <w:rsid w:val="00171755"/>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640">
      <w:bodyDiv w:val="1"/>
      <w:marLeft w:val="0"/>
      <w:marRight w:val="0"/>
      <w:marTop w:val="0"/>
      <w:marBottom w:val="0"/>
      <w:divBdr>
        <w:top w:val="none" w:sz="0" w:space="0" w:color="auto"/>
        <w:left w:val="none" w:sz="0" w:space="0" w:color="auto"/>
        <w:bottom w:val="none" w:sz="0" w:space="0" w:color="auto"/>
        <w:right w:val="none" w:sz="0" w:space="0" w:color="auto"/>
      </w:divBdr>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900939771">
      <w:bodyDiv w:val="1"/>
      <w:marLeft w:val="0"/>
      <w:marRight w:val="0"/>
      <w:marTop w:val="0"/>
      <w:marBottom w:val="0"/>
      <w:divBdr>
        <w:top w:val="none" w:sz="0" w:space="0" w:color="auto"/>
        <w:left w:val="none" w:sz="0" w:space="0" w:color="auto"/>
        <w:bottom w:val="none" w:sz="0" w:space="0" w:color="auto"/>
        <w:right w:val="none" w:sz="0" w:space="0" w:color="auto"/>
      </w:divBdr>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80F06"/>
    <w:rsid w:val="00286104"/>
    <w:rsid w:val="003413FE"/>
    <w:rsid w:val="00384E3B"/>
    <w:rsid w:val="00387581"/>
    <w:rsid w:val="00396424"/>
    <w:rsid w:val="004019CA"/>
    <w:rsid w:val="004F1236"/>
    <w:rsid w:val="004F76DA"/>
    <w:rsid w:val="006D67F0"/>
    <w:rsid w:val="00746C61"/>
    <w:rsid w:val="00927CC6"/>
    <w:rsid w:val="00983991"/>
    <w:rsid w:val="009978BC"/>
    <w:rsid w:val="009C4A6C"/>
    <w:rsid w:val="009D6E6D"/>
    <w:rsid w:val="009E6295"/>
    <w:rsid w:val="00B0441B"/>
    <w:rsid w:val="00B70615"/>
    <w:rsid w:val="00B85487"/>
    <w:rsid w:val="00BB5369"/>
    <w:rsid w:val="00CD7D39"/>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15</Pages>
  <Words>4986</Words>
  <Characters>27429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2023-08-15T19:30:00Z</cp:lastPrinted>
  <dcterms:created xsi:type="dcterms:W3CDTF">2023-08-16T19:46:00Z</dcterms:created>
  <dcterms:modified xsi:type="dcterms:W3CDTF">2024-02-28T20:03:00Z</dcterms:modified>
</cp:coreProperties>
</file>